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hyperlink w:anchor="toc" w:history="1"><w:r><w:rPr/><w:t xml:space="preserve">Table of Contents</w:t></w:r></w:hyperlink></w:p><w:p><w:pPr><w:jc w:val="start"/></w:pPr><w:r><w:rPr><w:spacing w:val="0"/></w:rPr><w:t xml:space="preserve"> </w:t></w:r></w:p><w:p><w:pPr><w:jc w:val="start"/></w:pPr><w:r><w:rPr><w:spacing w:val="0"/></w:rPr><w:t xml:space="preserve"> </w:t></w:r></w:p><w:p><w:pPr><w:jc w:val="center"/></w:pPr><w:r><w:rPr><w:rFonts w:ascii="&quot;Times New Roman&quot;" w:hAnsi="&quot;Times New Roman&quot;" w:eastAsia="&quot;Times New Roman&quot;" w:cs="&quot;Times New Roman&quot;"/><w:sz w:val="36"/><w:szCs w:val="36"/><w:b w:val="1"/><w:bCs w:val="1"/><w:spacing w:val="0"/></w:rPr><w:t xml:space="preserve">UNITED STATES </w:t></w:r></w:p><w:p><w:pPr><w:jc w:val="center"/></w:pPr><w:r><w:rPr><w:rFonts w:ascii="&quot;Times New Roman&quot;" w:hAnsi="&quot;Times New Roman&quot;" w:eastAsia="&quot;Times New Roman&quot;" w:cs="&quot;Times New Roman&quot;"/><w:sz w:val="36"/><w:szCs w:val="36"/><w:b w:val="1"/><w:bCs w:val="1"/><w:spacing w:val="0"/></w:rPr><w:t xml:space="preserve">SECURITIES AND EXCHANGE COMMISSION </w:t></w:r></w:p><w:p><w:pPr><w:jc w:val="center"/></w:pPr><w:r><w:rPr><w:rFonts w:ascii="&quot;Times New Roman&quot;" w:hAnsi="&quot;Times New Roman&quot;" w:eastAsia="&quot;Times New Roman&quot;" w:cs="&quot;Times New Roman&quot;"/><w:sz w:val="24"/><w:szCs w:val="24"/><w:b w:val="1"/><w:bCs w:val="1"/><w:spacing w:val="0"/></w:rPr><w:t xml:space="preserve">WASHINGTON, DC 20549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36"/><w:szCs w:val="36"/><w:b w:val="1"/><w:bCs w:val="1"/><w:spacing w:val="0"/></w:rPr><w:t xml:space="preserve">FORM 10-K/A</w:t></w:r></w:p><w:p><w:pPr><w:jc w:val="start"/></w:pPr><w:r><w:rPr><w:sz w:val="24"/><w:szCs w:val="24"/><w:spacing w:val="0"/></w:rPr><w:t xml:space="preserve"> </w:t></w:r></w:p><w:p><w:pPr><w:jc w:val="center"/></w:pPr><w:r><w:rPr><w:spacing w:val="0"/></w:rPr><w:t xml:space="preserve"> </w:t></w:r></w:p><w:p><w:pPr><w:jc w:val="start"/></w:pPr><w:r><w:rPr><w:rFonts w:ascii="&quot;Times New Roman&quot;" w:hAnsi="&quot;Times New Roman&quot;" w:eastAsia="&quot;Times New Roman&quot;" w:cs="&quot;Times New Roman&quot;"/><w:sz w:val="20"/><w:szCs w:val="20"/><w:b w:val="1"/><w:bCs w:val="1"/><w:spacing w:val="0"/></w:rPr><w:t xml:space="preserve">(Mark One)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spacing w:val="0"/></w:rPr><w:t xml:space="preserve">ANNUAL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spacing w:val="0"/></w:rPr><w:t xml:space="preserve">For the Fiscal Year Ended December 31</w:t></w:r></w:p><w:p><w:pPr><w:jc w:val="center"/></w:pPr><w:r><w:rPr><w:rFonts w:ascii="&quot;Times New Roman&quot;" w:hAnsi="&quot;Times New Roman&quot;" w:eastAsia="&quot;Times New Roman&quot;" w:cs="&quot;Times New Roman&quot;"/><w:sz w:val="20"/><w:szCs w:val="20"/><w:b w:val="1"/><w:bCs w:val="1"/><w:spacing w:val="0"/></w:rPr><w:t xml:space="preserve">, 2021 </w:t></w:r></w:p><w:p><w:pPr><w:jc w:val="center"/></w:pPr><w:r><w:rPr><w:rFonts w:ascii="&quot;Times New Roman&quot;" w:hAnsi="&quot;Times New Roman&quot;" w:eastAsia="&quot;Times New Roman&quot;" w:cs="&quot;Times New Roman&quot;"/><w:sz w:val="20"/><w:szCs w:val="20"/><w:b w:val="1"/><w:bCs w:val="1"/><w:spacing w:val="0"/></w:rPr><w:t xml:space="preserve">OR </w:t></w:r></w:p><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spacing w:val="0"/></w:rPr><w:t xml:space="preserve">TRANSITION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rPr><w:t xml:space="preserve">Commission File Number: </w:t></w:r></w:p><w:p><w:pPr><w:jc w:val="center"/></w:pPr><w:r><w:rPr><w:rFonts w:ascii="&quot;Times New Roman&quot;" w:hAnsi="&quot;Times New Roman&quot;" w:eastAsia="&quot;Times New Roman&quot;" w:cs="&quot;Times New Roman&quot;"/><w:sz w:val="20"/><w:szCs w:val="20"/><w:b w:val="1"/><w:bCs w:val="1"/><w:spacing w:val="0"/></w:rPr><w:t xml:space="preserve">001-37906</w:t></w:r></w:p><w:p><w:pPr><w:jc w:val="center"/></w:pPr><w:r><w:rPr><w:rFonts w:ascii="&quot;Times New Roman&quot;" w:hAnsi="&quot;Times New Roman&quot;" w:eastAsia="&quot;Times New Roman&quot;" w:cs="&quot;Times New Roman&quot;"/><w:sz w:val="20"/><w:szCs w:val="20"/><w:b w:val="1"/><w:bCs w:val="1"/></w:rPr><w:t xml:space="preserve">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48"/><w:szCs w:val="48"/><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(Exact Name of Registrant as Specified in Its Charter) </w:t></w:r></w:p><w:p><w:pPr><w:jc w:val="start"/></w:pPr><w:r><w:rPr><w:sz w:val="24"/><w:szCs w:val="24"/><w:spacing w:val="0"/></w:rPr><w:t xml:space="preserve"> </w:t></w:r></w:p><w:p><w:pPr><w:jc w:val="center"/></w:pPr><w:r><w:rPr><w:spacing w:val="0"/></w:rPr><w:t xml:space="preserve"> </w:t></w:r></w:p><w:p><w:pPr><w:jc w:val="start"/></w:pPr><w:r><w:rPr><w:sz w:val="24"/><w:szCs w:val="24"/><w:spacing w:val="0"/></w:rPr><w:t xml:space="preserve"> </w:t></w:r></w:p><w:tbl><w:tblGrid><w:gridCol w:w="2500" w:type="dxa"/><w:gridCol w:w="50" w:type="dxa"/><w:gridCol w:w="2400" w:type="dxa"/></w:tblGrid><w:tblPr><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pPr><w:r><w:rPr><w:rFonts w:ascii="Times New Roman" w:hAnsi="Times New Roman" w:eastAsia="Times New Roman" w:cs="Times New Roman"/><w:sz w:val="20"/><w:szCs w:val="20"/><w:b w:val="1"/><w:bCs w:val="1"/><w:spacing w:val="0"/></w:rPr><w:t xml:space="preserve">Delaware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98-1329150</w:t></w:r></w:p></w:tc></w:tr><w:tr><w:trPr/><w:tc><w:tcPr><w:tcW w:w="5000" w:type="pct"/><w:vAlign w:val="top"/><w:noWrap/></w:tcPr><w:p><w:pPr><w:jc w:val="center"/></w:pPr><w:r><w:rPr><w:rFonts w:ascii="&quot;Times New Roman&quot;" w:hAnsi="&quot;Times New Roman&quot;" w:eastAsia="&quot;Times New Roman&quot;" w:cs="&quot;Times New Roman&quot;"/><w:sz w:val="16"/><w:szCs w:val="16"/><w:b w:val="1"/><w:bCs w:val="1"/><w:spacing w:val="0"/></w:rPr><w:t xml:space="preserve">(State or Other Jurisdiction of</w:t></w:r><w:r><w:rPr><w:rFonts w:ascii="&quot;Times New Roman&quot;" w:hAnsi="&quot;Times New Roman&quot;" w:eastAsia="&quot;Times New Roman&quot;" w:cs="&quot;Times New Roman&quot;"/><w:sz w:val="16"/><w:szCs w:val="16"/><w:b w:val="1"/><w:bCs w:val="1"/><w:spacing w:val="0"/></w:rPr><w:t xml:space="preserve">Incorporation or Organization)</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quot;Times New Roman&quot;" w:hAnsi="&quot;Times New Roman&quot;" w:eastAsia="&quot;Times New Roman&quot;" w:cs="&quot;Times New Roman&quot;"/><w:sz w:val="16"/><w:szCs w:val="16"/><w:b w:val="1"/><w:bCs w:val="1"/><w:spacing w:val="0"/></w:rPr><w:t xml:space="preserve">(I.R.S. Employer</w:t></w:r><w:r><w:rPr><w:rFonts w:ascii="&quot;Times New Roman&quot;" w:hAnsi="&quot;Times New Roman&quot;" w:eastAsia="&quot;Times New Roman&quot;" w:cs="&quot;Times New Roman&quot;"/><w:sz w:val="16"/><w:szCs w:val="16"/><w:b w:val="1"/><w:bCs w:val="1"/><w:spacing w:val="0"/></w:rPr><w:t xml:space="preserve">Identification No.)</w:t></w:r></w:p></w:tc></w:tr></w:tbl><w:p><w:pPr><w:jc w:val="center"/></w:pPr><w:r><w:rPr><w:rFonts w:ascii="&quot;Times New Roman&quot;" w:hAnsi="&quot;Times New Roman&quot;" w:eastAsia="&quot;Times New Roman&quot;" w:cs="&quot;Times New Roman&quot;"/><w:sz w:val="20"/><w:szCs w:val="20"/><w:b w:val="1"/><w:bCs w:val="1"/><w:spacing w:val="0"/></w:rPr><w:t xml:space="preserve">85 Dan Road </w:t></w:r></w:p><w:p><w:pPr><w:jc w:val="center"/></w:pPr><w:r><w:rPr><w:rFonts w:ascii="&quot;Times New Roman&quot;" w:hAnsi="&quot;Times New Roman&quot;" w:eastAsia="&quot;Times New Roman&quot;" w:cs="&quot;Times New Roman&quot;"/><w:sz w:val="20"/><w:szCs w:val="20"/><w:b w:val="1"/><w:bCs w:val="1"/><w:spacing w:val="0"/></w:rPr><w:t xml:space="preserve">Canton, </w:t></w:r></w:p><w:p><w:pPr><w:jc w:val="center"/></w:pPr><w:r><w:rPr><w:rFonts w:ascii="&quot;Times New Roman&quot;" w:hAnsi="&quot;Times New Roman&quot;" w:eastAsia="&quot;Times New Roman&quot;" w:cs="&quot;Times New Roman&quot;"/><w:sz w:val="20"/><w:szCs w:val="20"/><w:b w:val="1"/><w:bCs w:val="1"/><w:spacing w:val="0"/></w:rPr><w:t xml:space="preserve">MA</w:t></w:r></w:p><w:p><w:pPr><w:jc w:val="center"/></w:pPr><w:r><w:rPr><w:rFonts w:ascii="&quot;Times New Roman&quot;" w:hAnsi="&quot;Times New Roman&quot;" w:eastAsia="&quot;Times New Roman&quot;" w:cs="&quot;Times New Roman&quot;"/><w:sz w:val="20"/><w:szCs w:val="20"/><w:b w:val="1"/><w:bCs w:val="1"/><w:spacing w:val="0"/></w:rPr><w:t xml:space="preserve"> 02021 </w:t></w:r></w:p><w:p><w:pPr><w:jc w:val="center"/></w:pPr><w:r><w:rPr><w:rFonts w:ascii="&quot;Times New Roman&quot;" w:hAnsi="&quot;Times New Roman&quot;" w:eastAsia="&quot;Times New Roman&quot;" w:cs="&quot;Times New Roman&quot;"/><w:sz w:val="16"/><w:szCs w:val="16"/><w:b w:val="1"/><w:bCs w:val="1"/><w:spacing w:val="0"/></w:rPr><w:t xml:space="preserve">(Address of Principal Executive Offices, Including Zip Code) </w:t></w:r></w:p><w:p><w:pPr><w:jc w:val="center"/></w:pPr><w:r><w:rPr><w:rFonts w:ascii="&quot;Times New Roman&quot;" w:hAnsi="&quot;Times New Roman&quot;" w:eastAsia="&quot;Times New Roman&quot;" w:cs="&quot;Times New Roman&quot;"/><w:sz w:val="20"/><w:szCs w:val="20"/><w:b w:val="1"/><w:bCs w:val="1"/></w:rPr><w:t xml:space="preserve">(781) </w:t></w:r></w:p><w:p><w:pPr><w:jc w:val="center"/></w:pPr><w:r><w:rPr><w:rFonts w:ascii="&quot;Times New Roman&quot;" w:hAnsi="&quot;Times New Roman&quot;" w:eastAsia="&quot;Times New Roman&quot;" w:cs="&quot;Times New Roman&quot;"/><w:sz w:val="20"/><w:szCs w:val="20"/><w:b w:val="1"/><w:bCs w:val="1"/><w:spacing w:val="0"/></w:rPr><w:t xml:space="preserve">575-0775</w:t></w:r></w:p><w:p><w:pPr><w:jc w:val="center"/></w:pPr><w:r><w:rPr><w:rFonts w:ascii="&quot;Times New Roman&quot;" w:hAnsi="&quot;Times New Roman&quot;" w:eastAsia="&quot;Times New Roman&quot;" w:cs="&quot;Times New Roman&quot;"/><w:sz w:val="20"/><w:szCs w:val="20"/><w:b w:val="1"/><w:bCs w:val="1"/></w:rPr><w:t xml:space="preserve"> </w:t></w:r></w:p><w:p><w:pPr><w:jc w:val="center"/></w:pPr><w:r><w:rPr><w:rFonts w:ascii="&quot;Times New Roman&quot;" w:hAnsi="&quot;Times New Roman&quot;" w:eastAsia="&quot;Times New Roman&quot;" w:cs="&quot;Times New Roman&quot;"/><w:sz w:val="16"/><w:szCs w:val="16"/><w:b w:val="1"/><w:bCs w:val="1"/><w:spacing w:val="0"/></w:rPr><w:t xml:space="preserve">(Registrant’s Telephone Number, Including Area Code) </w:t></w:r></w:p><w:p><w:pPr><w:jc w:val="center"/></w:pPr><w:r><w:rPr><w:rFonts w:ascii="&quot;Times New Roman&quot;" w:hAnsi="&quot;Times New Roman&quot;" w:eastAsia="&quot;Times New Roman&quot;" w:cs="&quot;Times New Roman&quot;"/><w:sz w:val="20"/><w:szCs w:val="20"/><w:b w:val="1"/><w:bCs w:val="1"/><w:spacing w:val="0"/></w:rPr><w:t xml:space="preserve">Securities registered pursuant to Section 12(b) of the Act: </w:t></w:r></w:p><w:p/><w:p><w:pPr><w:jc w:val="start"/></w:pPr><w:r><w:rPr><w:sz w:val="24"/><w:szCs w:val="24"/><w:spacing w:val="0"/></w:rPr><w:t xml:space="preserve"> </w:t></w:r></w:p><w:tbl><w:tblGrid><w:gridCol w:w="1700" w:type="dxa"/><w:gridCol w:w="5000" w:type="dxa"/><w:gridCol w:w="1600" w:type="dxa"/><w:gridCol w:w="50" w:type="dxa"/><w:gridCol w:w="1600" w:type="dxa"/></w:tblGrid><w:tblPr><w:tblW w:w="5000" w:type="pct"/><w:tblCellSpacing w:w="0" w:type="dxa"/><w:tblLayout w:type="autofit"/></w:tblPr><w:tr><w:trPr/><w:tc><w:tcPr><w:tcW w:w="1700" w:type="pct"/><w:noWrap/></w:tcPr><w:p><w:pPr/></w:p></w:tc><w:tc><w:tcPr><w:tcW w:w="5000" w:type="pct"/><w:vAlign w:val="bottom"/><w:noWrap/></w:tcPr><w:p><w:pPr/></w:p></w:tc><w:tc><w:tcPr><w:tcW w:w="1600" w:type="pct"/><w:noWrap/></w:tcPr><w:p><w:pPr/></w:p></w:tc><w:tc><w:tcPr><w:tcW w:w="50" w:type="pct"/><w:vAlign w:val="bottom"/><w:noWrap/></w:tcPr><w:p><w:pPr/></w:p></w:tc><w:tc><w:tcPr><w:tcW w:w="160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Title of class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Trading</w:t></w:r><w:r><w:rPr><w:rFonts w:ascii="&quot;Times New Roman&quot;" w:hAnsi="&quot;Times New Roman&quot;" w:eastAsia="&quot;Times New Roman&quot;" w:cs="&quot;Times New Roman&quot;"/><w:sz w:val="16"/><w:szCs w:val="16"/><w:b w:val="1"/><w:bCs w:val="1"/><w:spacing w:val="0"/></w:rPr><w:t xml:space="preserve">Symbol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Name of exchange</w:t></w:r><w:r><w:rPr><w:rFonts w:ascii="&quot;Times New Roman&quot;" w:hAnsi="&quot;Times New Roman&quot;" w:eastAsia="&quot;Times New Roman&quot;" w:cs="&quot;Times New Roman&quot;"/><w:sz w:val="16"/><w:szCs w:val="16"/><w:b w:val="1"/><w:bCs w:val="1"/><w:spacing w:val="0"/></w:rPr><w:t xml:space="preserve">on which registered</w:t></w:r></w:p></w:tc></w:tr><w:tr><w:trPr/><w:tc><w:tcPr><w:tcW w:w="5000" w:type="pct"/><w:vAlign w:val="top"/><w:noWrap/></w:tcPr><w:p><w:pPr><w:jc w:val="center"/></w:pPr><w:r><w:rPr><w:rFonts w:ascii="Times New Roman" w:hAnsi="Times New Roman" w:eastAsia="Times New Roman" w:cs="Times New Roman"/><w:sz w:val="20"/><w:szCs w:val="20"/><w:b w:val="1"/><w:bCs w:val="1"/><w:spacing w:val="0"/></w:rPr><w:t xml:space="preserve">Class A Common Stock, $0.0001 par value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ORGO</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NASDAQ Capital Market</w:t></w:r></w:p></w:tc></w:tr></w:tbl><w:p><w:pPr><w:jc w:val="center"/></w:pPr><w:r><w:rPr><w:rFonts w:ascii="&quot;Times New Roman&quot;" w:hAnsi="&quot;Times New Roman&quot;" w:eastAsia="&quot;Times New Roman&quot;" w:cs="&quot;Times New Roman&quot;"/><w:sz w:val="20"/><w:szCs w:val="20"/><w:b w:val="1"/><w:bCs w:val="1"/><w:spacing w:val="0"/></w:rPr><w:t xml:space="preserve">Securities registered pursuant to Section 12(g) of the Act: None </w:t></w:r></w:p><w:p><w:pPr><w:jc w:val="start"/></w:pPr><w:r><w:rPr><w:sz w:val="24"/><w:szCs w:val="24"/><w:spacing w:val="0"/></w:rPr><w:t xml:space="preserve"> </w:t></w:r></w:p><w:p><w:pPr><w:jc w:val="center"/></w:pPr><w:r><w:rPr><w:spacing w:val="0"/></w:rPr><w:t xml:space="preserve"> </w:t></w:r></w:p><w:p><w:pPr><w:jc w:val="start"/></w:pPr><w:r><w:rPr><w:rFonts w:ascii="&quot;Times New Roman&quot;" w:hAnsi="&quot;Times New Roman&quot;" w:eastAsia="&quot;Times New Roman&quot;" w:cs="&quot;Times New Roman&quot;"/><w:sz w:val="20"/><w:szCs w:val="20"/><w:spacing w:val="0"/></w:rPr><w:t xml:space="preserve">Indicate by check mark if the registrant is a well-known seasoned issuer, as defined in Rule 405 of the Securities Act.    Yes  ☐    No  ☒ </w:t></w:r></w:p><w:p><w:pPr><w:jc w:val="start"/></w:pPr><w:r><w:rPr><w:rFonts w:ascii="&quot;Times New Roman&quot;" w:hAnsi="&quot;Times New Roman&quot;" w:eastAsia="&quot;Times New Roman&quot;" w:cs="&quot;Times New Roman&quot;"/><w:sz w:val="20"/><w:szCs w:val="20"/><w:spacing w:val="0"/></w:rPr><w:t xml:space="preserve">Indicate by check mark if the registrant is not required to file reports pursuant to Section 13 or Section 15(d) of the Act.    Yes  ☐    No  ☒ </w:t></w:r></w:p><w:p><w:pPr><w:jc w:val="start"/></w:pPr><w:r><w:rPr><w:rFonts w:ascii="&quot;Times New Roman&quot;" w:hAnsi="&quot;Times New Roman&quot;" w:eastAsia="&quot;Times New Roman&quot;" w:cs="&quot;Times New Roman&quot;"/><w:sz w:val="20"/><w:szCs w:val="20"/><w:spacing w:val="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    No  ☐ </w:t></w:r></w:p><w:p><w:pPr><w:jc w:val="start"/></w:pPr><w:r><w:rPr><w:rFonts w:ascii="Times New Roman" w:hAnsi="Times New Roman" w:eastAsia="Times New Roman" w:cs="Times New Roman"/><w:sz w:val="20"/><w:szCs w:val="20"/></w:rPr><w:t xml:space="preserve">Indicate by check mark whether the registrant has submitted electronically every Interactive Data File required to be submitted pursuant to Rule 405 of </w:t></w:r></w:p><w:p><w:pPr><w:jc w:val="start"/></w:pPr><w:r><w:rPr><w:rFonts w:ascii="Times New Roman" w:hAnsi="Times New Roman" w:eastAsia="Times New Roman" w:cs="Times New Roman"/><w:sz w:val="20"/><w:szCs w:val="20"/><w:spacing w:val="0"/></w:rPr><w:t xml:space="preserve">Regulation S-T</w:t></w:r></w:p><w:p><w:pPr><w:jc w:val="start"/></w:pPr><w:r><w:rPr><w:rFonts w:ascii="Times New Roman" w:hAnsi="Times New Roman" w:eastAsia="Times New Roman" w:cs="Times New Roman"/><w:sz w:val="20"/><w:szCs w:val="20"/></w:rPr><w:t xml:space="preserve"> (§ 232.405 of this chapter) during the preceding 12 months (or for such shorter period that the registrant was required to submit such files).    Yes  ☒    No  ☐ </w:t></w:r></w:p><w:p><w:pPr><w:jc w:val="start"/></w:pPr><w:r><w:rPr><w:rFonts w:ascii="Times New Roman" w:hAnsi="Times New Roman" w:eastAsia="Times New Roman" w:cs="Times New Roman"/><w:sz w:val="20"/><w:szCs w:val="20"/></w:rPr><w:t xml:space="preserve">Indicate by check mark whether the registrant is a large accelerated filer, an accelerated filer, a </w:t></w:r></w:p><w:p><w:pPr><w:jc w:val="start"/></w:pPr><w:r><w:rPr><w:rFonts w:ascii="Times New Roman" w:hAnsi="Times New Roman" w:eastAsia="Times New Roman" w:cs="Times New Roman"/><w:sz w:val="20"/><w:szCs w:val="20"/><w:spacing w:val="0"/></w:rPr><w:t xml:space="preserve">non-accelerated</w:t></w:r></w:p><w:p><w:pPr><w:jc w:val="start"/></w:pPr><w:r><w:rPr><w:rFonts w:ascii="Times New Roman" w:hAnsi="Times New Roman" w:eastAsia="Times New Roman" w:cs="Times New Roman"/><w:sz w:val="20"/><w:szCs w:val="20"/></w:rPr><w:t xml:space="preserve"> filer, a smaller reporting company, or an emerging growth company. See the definitions of “large accelerated filer,” “accelerated filer,” “smaller reporting company,” and “emerging growth company” in </w:t></w:r></w:p><w:p><w:pPr><w:jc w:val="start"/></w:pPr><w:r><w:rPr><w:rFonts w:ascii="Times New Roman" w:hAnsi="Times New Roman" w:eastAsia="Times New Roman" w:cs="Times New Roman"/><w:sz w:val="20"/><w:szCs w:val="20"/><w:spacing w:val="0"/></w:rPr><w:t xml:space="preserve">Rule 12b-2</w:t></w:r></w:p><w:p><w:pPr><w:jc w:val="start"/></w:pPr><w:r><w:rPr><w:rFonts w:ascii="Times New Roman" w:hAnsi="Times New Roman" w:eastAsia="Times New Roman" w:cs="Times New Roman"/><w:sz w:val="20"/><w:szCs w:val="20"/></w:rPr><w:t xml:space="preserve"> of the Exchange Act. </w:t></w:r></w:p><w:p><w:pPr><w:jc w:val="start"/></w:pPr><w:r><w:rPr><w:sz w:val="24"/><w:szCs w:val="24"/><w:spacing w:val="0"/></w:rPr><w:t xml:space="preserve"> </w:t></w:r></w:p><w:tbl><w:tblGrid><w:gridCol w:w="850" w:type="dxa"/><w:gridCol w:w="50" w:type="dxa"/><w:gridCol w:w="2900" w:type="dxa"/><w:gridCol w:w="50" w:type="dxa"/><w:gridCol w:w="1000" w:type="dxa"/><w:gridCol w:w="50" w:type="dxa"/><w:gridCol w:w="100" w:type="dxa"/></w:tblGrid><w:tblPr><w:tblW w:w="5000" w:type="pct"/><w:tblCellSpacing w:w="0" w:type="dxa"/><w:tblLayout w:type="autofit"/></w:tblPr><w:tr><w:trPr/><w:tc><w:tcPr><w:tcW w:w="850" w:type="pct"/><w:noWrap/></w:tcPr><w:p><w:pPr/></w:p></w:tc><w:tc><w:tcPr><w:tcW w:w="50" w:type="pct"/><w:vAlign w:val="bottom"/><w:noWrap/></w:tcPr><w:p><w:pPr/></w:p></w:tc><w:tc><w:tcPr><w:tcW w:w="2900" w:type="pct"/><w:noWrap/></w:tcPr><w:p><w:pPr/></w:p></w:tc><w:tc><w:tcPr><w:tcW w:w="50" w:type="pct"/><w:vAlign w:val="bottom"/><w:noWrap/></w:tcPr><w:p><w:pPr/></w:p></w:tc><w:tc><w:tcPr><w:tcW w:w="1000" w:type="pct"/><w:noWrap/></w:tcPr><w:p><w:pPr/></w:p></w:tc><w:tc><w:tcPr><w:tcW w:w="50" w:type="pct"/><w:vAlign w:val="bottom"/><w:noWrap/></w:tcPr><w:p><w:pPr/></w:p></w:tc><w:tc><w:tcPr><w:tcW w:w="100" w:type="pct"/><w:noWrap/></w:tcPr><w:p><w:pPr/></w:p></w:tc></w:tr><w:tr><w:trPr/><w:tc><w:tcPr><w:tcW w:w="5000" w:type="pct"/><w:vAlign w:val="bottom"/><w:noWrap/></w:tcPr><w:p><w:pPr/><w:r><w:rPr><w:rFonts w:ascii="Times New Roman" w:hAnsi="Times New Roman" w:eastAsia="Times New Roman" w:cs="Times New Roman"/><w:sz w:val="20"/><w:szCs w:val="20"/></w:rPr><w:t xml:space="preserve">Large accelerated filer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Accelerated filer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bottom"/><w:noWrap/></w:tcPr><w:p><w:pPr/><w:r><w:rPr><w:rFonts w:ascii="Times New Roman" w:hAnsi="Times New Roman" w:eastAsia="Times New Roman" w:cs="Times New Roman"/><w:sz w:val="20"/><w:szCs w:val="20"/><w:spacing w:val="0"/></w:rPr><w:t xml:space="preserve">Non-accelerated</w:t></w:r><w:r><w:rPr><w:rFonts w:ascii="Times New Roman" w:hAnsi="Times New Roman" w:eastAsia="Times New Roman" w:cs="Times New Roman"/><w:sz w:val="20"/><w:szCs w:val="20"/></w:rPr><w:t xml:space="preserve"> filer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Smaller reporting company</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Emerging growth company</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r></w:tbl><w:p><w:pPr><w:jc w:val="start"/></w:pPr><w:r><w:rPr><w:rFonts w:ascii="&quot;Times New Roman&quot;" w:hAnsi="&quot;Times New Roman&quot;" w:eastAsia="&quot;Times New Roman&quot;" w:cs="&quot;Times New Roman&quot;"/><w:sz w:val="20"/><w:szCs w:val="20"/><w:spacing w:val="0"/></w:rPr><w:t xml:space="preserve">If an emerging growth company, indicate by check mark if the registrant has elected not to use the extended transition period for complying with any new or revised financial accounting standards provided pursuant to Section 13(a) of the Exchange Act  ☐ </w:t></w:r></w:p><w:p><w:pPr><w:jc w:val="start"/></w:pPr><w:r><w:rPr><w:rFonts w:ascii="&quot;Times New Roman&quot;" w:hAnsi="&quot;Times New Roman&quot;" w:eastAsia="&quot;Times New Roman&quot;" w:cs="&quot;Times New Roman&quot;"/><w:sz w:val="20"/><w:szCs w:val="20"/><w:spacing w:val="0"/></w:rPr><w:t xml:space="preserve">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  ☒ </w:t></w:r></w:p><w:p><w:pPr><w:jc w:val="start"/></w:pPr><w:r><w:rPr><w:rFonts w:ascii="Times New Roman" w:hAnsi="Times New Roman" w:eastAsia="Times New Roman" w:cs="Times New Roman"/><w:sz w:val="20"/><w:szCs w:val="20"/></w:rPr><w:t xml:space="preserve">Indicate by check mark whether the registrant is a shell company (as defined in </w:t></w:r></w:p><w:p><w:pPr><w:jc w:val="start"/></w:pPr><w:r><w:rPr><w:rFonts w:ascii="Times New Roman" w:hAnsi="Times New Roman" w:eastAsia="Times New Roman" w:cs="Times New Roman"/><w:sz w:val="20"/><w:szCs w:val="20"/><w:spacing w:val="0"/></w:rPr><w:t xml:space="preserve">Rule 12b-2</w:t></w:r></w:p><w:p><w:pPr><w:jc w:val="start"/></w:pPr><w:r><w:rPr><w:rFonts w:ascii="Times New Roman" w:hAnsi="Times New Roman" w:eastAsia="Times New Roman" w:cs="Times New Roman"/><w:sz w:val="20"/><w:szCs w:val="20"/></w:rPr><w:t xml:space="preserve"> of the Exchange Act).    Yes  ☐    No  ☒ </w:t></w:r></w:p><w:p><w:pPr><w:jc w:val="start"/></w:pPr><w:r><w:rPr><w:rFonts w:ascii="Times New Roman" w:hAnsi="Times New Roman" w:eastAsia="Times New Roman" w:cs="Times New Roman"/><w:sz w:val="20"/><w:szCs w:val="20"/></w:rPr><w:t xml:space="preserve">The aggregate market value of the voting common shares held by </w:t></w:r></w:p><w:p><w:pPr><w:jc w:val="start"/></w:pPr><w:r><w:rPr><w:rFonts w:ascii="Times New Roman" w:hAnsi="Times New Roman" w:eastAsia="Times New Roman" w:cs="Times New Roman"/><w:sz w:val="20"/><w:szCs w:val="20"/><w:spacing w:val="0"/></w:rPr><w:t xml:space="preserve">non-affiliates</w:t></w:r></w:p><w:p><w:pPr><w:jc w:val="start"/></w:pPr><w:r><w:rPr><w:rFonts w:ascii="Times New Roman" w:hAnsi="Times New Roman" w:eastAsia="Times New Roman" w:cs="Times New Roman"/><w:sz w:val="20"/><w:szCs w:val="20"/></w:rPr><w:t xml:space="preserve"> of the registrant was approximately $1.1 billion, computed by reference to the closing sale price of the common stock as reported by the Nasdaq Capital Market on June 30, 2021, the last trading day of the registrant’s most recently completed second fiscal quarter. The Company has no </w:t></w:r></w:p><w:p><w:pPr><w:jc w:val="start"/></w:pPr><w:r><w:rPr><w:rFonts w:ascii="Times New Roman" w:hAnsi="Times New Roman" w:eastAsia="Times New Roman" w:cs="Times New Roman"/><w:sz w:val="20"/><w:szCs w:val="20"/><w:spacing w:val="0"/></w:rPr><w:t xml:space="preserve">non-voting</w:t></w:r></w:p><w:p><w:pPr><w:jc w:val="start"/></w:pPr><w:r><w:rPr><w:rFonts w:ascii="Times New Roman" w:hAnsi="Times New Roman" w:eastAsia="Times New Roman" w:cs="Times New Roman"/><w:sz w:val="20"/><w:szCs w:val="20"/></w:rPr><w:t xml:space="preserve"> common shares. </w:t></w:r></w:p><w:p><w:pPr><w:jc w:val="start"/></w:pPr><w:r><w:rPr><w:rFonts w:ascii="&quot;Times New Roman&quot;" w:hAnsi="&quot;Times New Roman&quot;" w:eastAsia="&quot;Times New Roman&quot;" w:cs="&quot;Times New Roman&quot;"/><w:sz w:val="20"/><w:szCs w:val="20"/><w:spacing w:val="0"/></w:rPr><w:t xml:space="preserve">The number of shares of the registrant’s common stock outstanding as of April 10, 2022 was 129,074,477. </w:t></w:r></w:p><w:p><w:pPr><w:jc w:val="center"/></w:pPr><w:r><w:rPr><w:rFonts w:ascii="&quot;Times New Roman&quot;" w:hAnsi="&quot;Times New Roman&quot;" w:eastAsia="&quot;Times New Roman&quot;" w:cs="&quot;Times New Roman&quot;"/><w:sz w:val="20"/><w:szCs w:val="20"/><w:b w:val="1"/><w:bCs w:val="1"/><w:spacing w:val="0"/></w:rPr><w:t xml:space="preserve">DOCUMENTS INCORPORATED BY REFERENCE </w:t></w:r></w:p><w:p><w:pPr><w:jc w:val="center"/></w:pPr><w:r><w:rPr><w:rFonts w:ascii="&quot;Times New Roman&quot;" w:hAnsi="&quot;Times New Roman&quot;" w:eastAsia="&quot;Times New Roman&quot;" w:cs="&quot;Times New Roman&quot;"/><w:sz w:val="20"/><w:szCs w:val="20"/><w:spacing w:val="0"/></w:rPr><w:t xml:space="preserve">None. </w:t></w:r></w:p><w:p><w:pPr><w:jc w:val="start"/></w:pPr><w:r><w:rPr><w:sz w:val="16"/><w:szCs w:val="16"/><w:spacing w:val="0"/></w:rPr><w:t xml:space="preserve"> </w:t></w:r></w:p><w:tbl><w:tblGrid><w:gridCol w:w="1750" w:type="dxa"/><w:gridCol w:w="50" w:type="dxa"/><w:gridCol w:w="1600" w:type="dxa"/><w:gridCol w:w="50" w:type="dxa"/><w:gridCol w:w="1550" w:type="dxa"/></w:tblGrid><w:tblPr><w:tblW w:w="5000" w:type="pct"/><w:tblCellSpacing w:w="0" w:type="dxa"/><w:tblLayout w:type="autofit"/></w:tblPr><w:tr><w:trPr/><w:tc><w:tcPr><w:tcW w:w="1750" w:type="pct"/><w:noWrap/></w:tcPr><w:p><w:pPr/></w:p></w:tc><w:tc><w:tcPr><w:tcW w:w="50" w:type="pct"/><w:vAlign w:val="bottom"/><w:noWrap/></w:tcPr><w:p><w:pPr/></w:p></w:tc><w:tc><w:tcPr><w:tcW w:w="1600" w:type="pct"/><w:noWrap/></w:tcPr><w:p><w:pPr/></w:p></w:tc><w:tc><w:tcPr><w:tcW w:w="50" w:type="pct"/><w:vAlign w:val="bottom"/><w:noWrap/></w:tcPr><w:p><w:pPr/></w:p></w:tc><w:tc><w:tcPr><w:tcW w:w="1550" w:type="pct"/><w:noWrap/></w:tcPr><w:p><w:pPr/></w:p></w:tc></w:tr><w:tr><w:trPr/><w:tc><w:tcPr><w:tcW w:w="5000" w:type="pct"/><w:vAlign w:val="top"/><w:noWrap/></w:tcPr><w:p><w:pPr/><w:r><w:rPr><w:rFonts w:ascii="Times New Roman" w:hAnsi="Times New Roman" w:eastAsia="Times New Roman" w:cs="Times New Roman"/><w:sz w:val="20"/><w:szCs w:val="20"/></w:rPr><w:t xml:space="preserve">Auditor Firm Id:   49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rPr><w:t xml:space="preserve">Auditor Name:   RSM US LLP</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end"/></w:pPr><w:r><w:rPr><w:rFonts w:ascii="Times New Roman" w:hAnsi="Times New Roman" w:eastAsia="Times New Roman" w:cs="Times New Roman"/><w:sz w:val="20"/><w:szCs w:val="20"/></w:rPr><w:t xml:space="preserve">Auditor Location:   Boston, Massachusetts</w:t></w:r></w:p></w:tc></w:tr></w:tbl><w:p><w:pPr><w:jc w:val="start"/></w:pPr><w:r><w:rPr><w:spacing w:val="0"/></w:rPr><w:t xml:space="preserve"> </w:t></w:r></w:p><w:p><w:pPr><w:jc w:val="start"/></w:pPr><w:r><w:rPr><w:spacing w:val="0"/></w:rPr><w:t xml:space="preserve">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EXPLANATORY NOTE </w:t></w:r></w:p><w:p><w:pPr><w:jc w:val="start"/></w:pPr><w:r><w:rPr><w:rFonts w:ascii="Times New Roman" w:hAnsi="Times New Roman" w:eastAsia="Times New Roman" w:cs="Times New Roman"/><w:sz w:val="20"/><w:szCs w:val="20"/></w:rPr><w:t xml:space="preserve">This Amendment No. 1 to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(this “Amendment”) amends the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fiscal year ended December 31, 2021 originally filed on March 1, 2022 (the “Original Filing”) by Organogenesis Holdings Inc. (“ORGO”, the “Company”, “we”, or “us”). We are filing this Amendment to present the information required by Part III of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as we will not file our definitive proxy statement within 120 days of the end of our fiscal year ended December 31, 2021. </w:t></w:r></w:p><w:p><w:pPr><w:jc w:val="start"/></w:pPr><w:r><w:rPr><w:rFonts w:ascii="Times New Roman" w:hAnsi="Times New Roman" w:eastAsia="Times New Roman" w:cs="Times New Roman"/><w:sz w:val="20"/><w:szCs w:val="20"/></w:rPr><w:t xml:space="preserve">Except as described above, this Amendment does not amend, update or change any other items or disclosures in the Original Filing, and accordingly, should be read in conjunction with the Original Filing. As required by Rule </w:t></w:r></w:p><w:p><w:pPr><w:jc w:val="start"/></w:pPr><w:r><w:rPr><w:rFonts w:ascii="Times New Roman" w:hAnsi="Times New Roman" w:eastAsia="Times New Roman" w:cs="Times New Roman"/><w:sz w:val="20"/><w:szCs w:val="20"/><w:spacing w:val="0"/></w:rPr><w:t xml:space="preserve">12b-15</w:t></w:r></w:p><w:p><w:pPr><w:jc w:val="start"/></w:pPr><w:r><w:rPr><w:rFonts w:ascii="Times New Roman" w:hAnsi="Times New Roman" w:eastAsia="Times New Roman" w:cs="Times New Roman"/><w:sz w:val="20"/><w:szCs w:val="20"/></w:rPr><w:t xml:space="preserve"> under the Securities and Exchange Act of 1934, as amended (the “Exchange Act”), new certifications by our principal executive officer and our principal financial officer are filed as exhibits to this Amendment under Item 15 of Part IV hereof. </w:t></w:r></w:p><w:p><w:pPr><w:jc w:val="start"/></w:pPr><w:r><w:rPr><w:sz w:val="36"/><w:szCs w:val="36"/><w:spacing w:val="0"/></w:rPr><w:t xml:space="preserve">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rPr><w:t xml:space="preserve">ANNUAL REPORT ON FORM </w:t></w:r></w:p><w:p><w:pPr><w:jc w:val="center"/></w:pPr><w:r><w:rPr><w:rFonts w:ascii="&quot;Times New Roman&quot;" w:hAnsi="&quot;Times New Roman&quot;" w:eastAsia="&quot;Times New Roman&quot;" w:cs="&quot;Times New Roman&quot;"/><w:sz w:val="20"/><w:szCs w:val="20"/><w:b w:val="1"/><w:bCs w:val="1"/><w:spacing w:val="0"/></w:rPr><w:t xml:space="preserve">10-K</w:t></w:r></w:p><w:p><w:pPr><w:jc w:val="center"/></w:pPr><w:r><w:rPr><w:rFonts w:ascii="&quot;Times New Roman&quot;" w:hAnsi="&quot;Times New Roman&quot;" w:eastAsia="&quot;Times New Roman&quot;" w:cs="&quot;Times New Roman&quot;"/><w:sz w:val="20"/><w:szCs w:val="20"/><w:b w:val="1"/><w:bCs w:val="1"/></w:rPr><w:t xml:space="preserve"> </w:t></w:r></w:p><w:p><w:pPr><w:jc w:val="center"/></w:pPr><w:r><w:rPr><w:rFonts w:ascii="&quot;Times New Roman&quot;" w:hAnsi="&quot;Times New Roman&quot;" w:eastAsia="&quot;Times New Roman&quot;" w:cs="&quot;Times New Roman&quot;"/><w:sz w:val="20"/><w:szCs w:val="20"/><w:b w:val="1"/><w:bCs w:val="1"/><w:spacing w:val="0"/></w:rPr><w:t xml:space="preserve">FOR FISCAL YEAR ENDED DECEMBER 31, 2021 </w:t></w:r></w:p><w:p><w:pPr><w:jc w:val="center"/></w:pPr><w:r><w:rPr><w:rFonts w:ascii="&quot;Times New Roman&quot;" w:hAnsi="&quot;Times New Roman&quot;" w:eastAsia="&quot;Times New Roman&quot;" w:cs="&quot;Times New Roman&quot;"/><w:sz w:val="20"/><w:szCs w:val="20"/><w:b w:val="1"/><w:bCs w:val="1"/><w:spacing w:val="0"/></w:rPr><w:t xml:space="preserve">TABLE OF CONTENTS </w:t></w:r></w:p><w:p><w:pPr><w:jc w:val="start"/></w:pPr><w:r><w:rPr><w:sz w:val="24"/><w:szCs w:val="24"/><w:spacing w:val="0"/></w:rPr><w:t xml:space="preserve"> </w:t></w:r></w:p><w:tbl><w:tblGrid><w:gridCol w:w="550" w:type="dxa"/><w:gridCol w:w="50" w:type="dxa"/><w:gridCol w:w="4050" w:type="dxa"/><w:gridCol w:w="100" w:type="dxa"/><w:gridCol w:w="5000" w:type="dxa"/><w:gridCol w:w="5000" w:type="dxa"/><w:gridCol w:w="100" w:type="dxa"/></w:tblGrid><w:tblPr><w:tblW w:w="5000" w:type="pct"/><w:tblCellSpacing w:w="0" w:type="dxa"/><w:tblLayout w:type="autofit"/></w:tblPr><w:tr><w:trPr/><w:tc><w:tcPr><w:tcW w:w="550" w:type="pct"/><w:noWrap/></w:tcPr><w:p><w:pPr/></w:p></w:tc><w:tc><w:tcPr><w:tcW w:w="50" w:type="pct"/><w:vAlign w:val="bottom"/><w:noWrap/></w:tcPr><w:p><w:pPr/></w:p></w:tc><w:tc><w:tcPr><w:tcW w:w="4050" w:type="pct"/><w:noWrap/></w:tcPr><w:p><w:pPr/></w:p></w:tc><w:tc><w:tcPr><w:tcW w:w="100" w:type="pct"/><w:vAlign w:val="bottom"/><w:noWrap/></w:tcPr><w:p><w:pPr/></w:p></w:tc><w:tc><w:tcPr><w:tcW w:w="5000" w:type="pct"/><w:noWrap/></w:tcPr><w:p><w:pPr/></w:p></w:tc><w:tc><w:tcPr><w:tcW w:w="5000" w:type="pct"/><w:noWrap/></w:tcPr><w:p><w:pPr/></w:p></w:tc><w:tc><w:tcPr><w:tcW w:w="100" w:type="pct"/><w:vAlign w:val="bottom"/><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Page</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noWrap/></w:tcPr><w:p><w:pPr/><w:hyperlink w:anchor="toc331465_1" w:history="1"><w:r><w:rPr/><w:t xml:space="preserve">PART III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Item 10.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331465_2" w:history="1"><w:r><w:rPr/><w:t xml:space="preserve">Directors, Executive Officers and Corporate Governance</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w:t></w:r></w:p></w:tc><w:tc><w:tcPr><w:tcW w:w="5000" w:type="pct"/><w:vAlign w:val="bottom"/><w:noWrap/></w:tcPr><w:p><w:pPr/><w:r><w:rPr><w:rFonts w:ascii="Times New Roman" w:hAnsi="Times New Roman" w:eastAsia="Times New Roman" w:cs="Times New Roman"/><w:sz w:val="20"/><w:szCs w:val="20"/></w:rPr><w:t xml:space="preserve"> </w:t></w:r></w:p></w:tc></w:tr><w:tr><w:trPr/><w:tc><w:tcPr><w:tcW w:w="5000" w:type="pct"/><w:noWrap/></w:tcPr><w:p><w:pPr/></w:p></w:tc><w:tc><w:tcPr><w:tcW w:w="5000" w:type="pct"/><w:gridSpan w:val="2"/><w:noWrap/></w:tcPr><w:p><w:pPr/></w:p></w:tc><w:tc><w:tcPr><w:tcW w:w="5000" w:type="pct"/><w:gridSpan w:val="4"/><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Item 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331465_3" w:history="1"><w:r><w:rPr/><w:t xml:space="preserve">Executive Compensation</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w:t></w:r></w:p></w:tc><w:tc><w:tcPr><w:tcW w:w="5000" w:type="pct"/><w:vAlign w:val="bottom"/><w:noWrap/></w:tcPr><w:p><w:pPr/><w:r><w:rPr><w:rFonts w:ascii="Times New Roman" w:hAnsi="Times New Roman" w:eastAsia="Times New Roman" w:cs="Times New Roman"/><w:sz w:val="20"/><w:szCs w:val="20"/></w:rPr><w:t xml:space="preserve"> </w:t></w:r></w:p></w:tc></w:tr><w:tr><w:trPr/><w:tc><w:tcPr><w:tcW w:w="5000" w:type="pct"/><w:noWrap/></w:tcPr><w:p><w:pPr/></w:p></w:tc><w:tc><w:tcPr><w:tcW w:w="5000" w:type="pct"/><w:gridSpan w:val="2"/><w:noWrap/></w:tcPr><w:p><w:pPr/></w:p></w:tc><w:tc><w:tcPr><w:tcW w:w="5000" w:type="pct"/><w:gridSpan w:val="4"/><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Item 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331465_4" w:history="1"><w:r><w:rPr/><w:t xml:space="preserve">Security Ownership of Certain Beneficial Owners and Management and Related Stockholder Matters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w:t></w:r></w:p></w:tc><w:tc><w:tcPr><w:tcW w:w="5000" w:type="pct"/><w:vAlign w:val="bottom"/><w:noWrap/></w:tcPr><w:p><w:pPr/><w:r><w:rPr><w:rFonts w:ascii="Times New Roman" w:hAnsi="Times New Roman" w:eastAsia="Times New Roman" w:cs="Times New Roman"/><w:sz w:val="20"/><w:szCs w:val="20"/></w:rPr><w:t xml:space="preserve"> </w:t></w:r></w:p></w:tc></w:tr><w:tr><w:trPr/><w:tc><w:tcPr><w:tcW w:w="5000" w:type="pct"/><w:noWrap/></w:tcPr><w:p><w:pPr/></w:p></w:tc><w:tc><w:tcPr><w:tcW w:w="5000" w:type="pct"/><w:gridSpan w:val="2"/><w:noWrap/></w:tcPr><w:p><w:pPr/></w:p></w:tc><w:tc><w:tcPr><w:tcW w:w="5000" w:type="pct"/><w:gridSpan w:val="4"/><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Item 13.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331465_5" w:history="1"><w:r><w:rPr/><w:t xml:space="preserve">Certain Relationships and Related Transactions, and Director Independence</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w:t></w:r></w:p></w:tc><w:tc><w:tcPr><w:tcW w:w="5000" w:type="pct"/><w:vAlign w:val="bottom"/><w:noWrap/></w:tcPr><w:p><w:pPr/><w:r><w:rPr><w:rFonts w:ascii="Times New Roman" w:hAnsi="Times New Roman" w:eastAsia="Times New Roman" w:cs="Times New Roman"/><w:sz w:val="20"/><w:szCs w:val="20"/></w:rPr><w:t xml:space="preserve"> </w:t></w:r></w:p></w:tc></w:tr><w:tr><w:trPr/><w:tc><w:tcPr><w:tcW w:w="5000" w:type="pct"/><w:noWrap/></w:tcPr><w:p><w:pPr/></w:p></w:tc><w:tc><w:tcPr><w:tcW w:w="5000" w:type="pct"/><w:gridSpan w:val="2"/><w:noWrap/></w:tcPr><w:p><w:pPr/></w:p></w:tc><w:tc><w:tcPr><w:tcW w:w="5000" w:type="pct"/><w:gridSpan w:val="4"/><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Item 14.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331465_6" w:history="1"><w:r><w:rPr/><w:t xml:space="preserve">Principal Accounting Fees and Services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w:t></w:r></w:p></w:tc><w:tc><w:tcPr><w:tcW w:w="5000" w:type="pct"/><w:vAlign w:val="bottom"/><w:noWrap/></w:tcPr><w:p><w:pPr/><w:r><w:rPr><w:rFonts w:ascii="Times New Roman" w:hAnsi="Times New Roman" w:eastAsia="Times New Roman" w:cs="Times New Roman"/><w:sz w:val="20"/><w:szCs w:val="20"/></w:rPr><w:t xml:space="preserve"> </w:t></w:r></w:p></w:tc></w:tr><w:tr><w:trPr/><w:tc><w:tcPr><w:tcW w:w="5000" w:type="pct"/><w:noWrap/></w:tcPr><w:p><w:pPr/></w:p></w:tc><w:tc><w:tcPr><w:tcW w:w="5000" w:type="pct"/><w:gridSpan w:val="2"/><w:noWrap/></w:tcPr><w:p><w:pPr/></w:p></w:tc><w:tc><w:tcPr><w:tcW w:w="5000" w:type="pct"/><w:gridSpan w:val="4"/><w:noWrap/></w:tcPr><w:p><w:pPr/></w:p></w:tc></w:tr><w:tr><w:trPr/><w:tc><w:tcPr><w:tcW w:w="5000" w:type="pct"/><w:vAlign w:val="top"/><w:noWrap/></w:tcPr><w:p><w:pPr/><w:hyperlink w:anchor="toc331465_7" w:history="1"><w:r><w:rPr/><w:t xml:space="preserve">PART IV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Item 15.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331465_8" w:history="1"><w:r><w:rPr/><w:t xml:space="preserve">Exhibits and Financial Statement Schedules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w:t></w:r></w:p></w:tc><w:tc><w:tcPr><w:tcW w:w="5000" w:type="pct"/><w:vAlign w:val="bottom"/><w:noWrap/></w:tcPr><w:p><w:pPr/><w:r><w:rPr><w:rFonts w:ascii="Times New Roman" w:hAnsi="Times New Roman" w:eastAsia="Times New Roman" w:cs="Times New Roman"/><w:sz w:val="20"/><w:szCs w:val="20"/></w:rPr><w:t xml:space="preserve"> </w:t></w:r></w:p></w:tc></w:tr><w:tr><w:trPr/><w:tc><w:tcPr><w:tcW w:w="5000" w:type="pct"/><w:gridSpan w:val="3"/><w:noWrap/></w:tcPr><w:p><w:pPr/></w:p></w:tc><w:tc><w:tcPr><w:tcW w:w="5000" w:type="pct"/><w:gridSpan w:val="4"/><w:noWrap/></w:tcPr><w:p><w:pPr/></w:p></w:tc></w:tr><w:tr><w:trPr/><w:tc><w:tcPr><w:tcW w:w="5000" w:type="pct"/><w:vAlign w:val="top"/><w:gridSpan w:val="3"/><w:noWrap/></w:tcPr><w:p><w:pPr/><w:hyperlink w:anchor="toc331465_9" w:history="1"><w:r><w:rPr/><w:t xml:space="preserve">SIGNATURES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w:t></w:r></w:p></w:tc><w:tc><w:tcPr><w:tcW w:w="5000" w:type="pct"/><w:vAlign w:val="bottom"/><w:noWrap/></w:tcPr><w:p><w:pPr/><w:r><w:rPr><w:rFonts w:ascii="Times New Roman" w:hAnsi="Times New Roman" w:eastAsia="Times New Roman" w:cs="Times New Roman"/><w:sz w:val="20"/><w:szCs w:val="20"/></w:rPr><w:t xml:space="preserve"> </w:t></w:r></w:p></w:tc></w:tr></w:tbl><w:p><w:pPr><w:jc w:val="start"/></w:pPr><w:r><w:rPr><w:sz w:val="36"/><w:szCs w:val="36"/><w:spacing w:val="0"/></w:rPr><w:t xml:space="preserve">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PART III </w:t></w:r></w:p><w:p><w:pPr><w:jc w:val="start"/></w:pPr><w:r><w:rPr><w:sz w:val="24"/><w:szCs w:val="24"/><w:spacing w:val="0"/></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quot;Times New Roman&quot;" w:hAnsi="&quot;Times New Roman&quot;" w:eastAsia="&quot;Times New Roman&quot;" w:cs="&quot;Times New Roman&quot;"/><w:sz w:val="20"/><w:szCs w:val="20"/><w:b w:val="1"/><w:bCs w:val="1"/><w:spacing w:val="0"/></w:rPr><w:t xml:space="preserve">ITEM 10.</w:t></w:r></w:p></w:tc><w:tc><w:tcPr><w:tcW w:w="5000" w:type="pct"/><w:vAlign w:val="top"/><w:noWrap/></w:tcPr><w:p><w:pPr><w:jc w:val="start"/></w:pPr><w:r><w:rPr><w:rFonts w:ascii="&quot;Times New Roman&quot;" w:hAnsi="&quot;Times New Roman&quot;" w:eastAsia="&quot;Times New Roman&quot;" w:cs="&quot;Times New Roman&quot;"/><w:sz w:val="20"/><w:szCs w:val="20"/><w:b w:val="1"/><w:bCs w:val="1"/><w:spacing w:val="0"/></w:rPr><w:t xml:space="preserve">DIRECTORS, EXECUTIVE OFFICERS AND CORPORATE GOVERNANCE </w:t></w:r></w:p></w:tc></w:tr></w:tbl><w:p><w:pPr><w:jc w:val="start"/></w:pPr><w:r><w:rPr><w:rFonts w:ascii="&quot;Times New Roman&quot;" w:hAnsi="&quot;Times New Roman&quot;" w:eastAsia="&quot;Times New Roman&quot;" w:cs="&quot;Times New Roman&quot;"/><w:sz w:val="20"/><w:szCs w:val="20"/><w:spacing w:val="0"/></w:rPr><w:t xml:space="preserve">The following biographical descriptions set forth certain information with respect to our directors and our executive officers who are not directors as of April 1, 2022. </w:t></w:r></w:p><w:p><w:pPr><w:jc w:val="start"/></w:pPr><w:r><w:rPr><w:sz w:val="24"/><w:szCs w:val="24"/><w:spacing w:val="0"/></w:rPr><w:t xml:space="preserve"> </w:t></w:r></w:p><w:tbl><w:tblGrid><w:gridCol w:w="1400" w:type="dxa"/><w:gridCol w:w="50" w:type="dxa"/><w:gridCol w:w="5000" w:type="dxa"/><w:gridCol w:w="100" w:type="dxa"/><w:gridCol w:w="3200" w:type="dxa"/></w:tblGrid><w:tblPr><w:tblW w:w="5000" w:type="pct"/><w:tblCellSpacing w:w="0" w:type="dxa"/><w:tblLayout w:type="autofit"/></w:tblPr><w:tr><w:trPr/><w:tc><w:tcPr><w:tcW w:w="1400" w:type="pct"/><w:noWrap/></w:tcPr><w:p><w:pPr/></w:p></w:tc><w:tc><w:tcPr><w:tcW w:w="50" w:type="pct"/><w:vAlign w:val="bottom"/><w:noWrap/></w:tcPr><w:p><w:pPr/></w:p></w:tc><w:tc><w:tcPr><w:tcW w:w="5000" w:type="pct"/><w:noWrap/></w:tcPr><w:p><w:pPr/></w:p></w:tc><w:tc><w:tcPr><w:tcW w:w="100" w:type="pct"/><w:vAlign w:val="bottom"/><w:noWrap/></w:tcPr><w:p><w:pPr/></w:p></w:tc><w:tc><w:tcPr><w:tcW w:w="3200" w:type="pct"/><w:noWrap/></w:tcPr><w:p><w:pPr/></w:p></w:tc></w:tr><w:tr><w:trPr/><w:tc><w:tcPr><w:tcW w:w="5000" w:type="pct"/><w:vAlign w:val="bottom"/><w:noWrap/></w:tcPr><w:p><w:pPr/><w:r><w:rPr><w:rFonts w:ascii="Times New Roman" w:hAnsi="Times New Roman" w:eastAsia="Times New Roman" w:cs="Times New Roman"/><w:sz w:val="16"/><w:szCs w:val="16"/><w:b w:val="1"/><w:bCs w:val="1"/><w:spacing w:val="0"/></w:rPr><w:t xml:space="preserve">Name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Times New Roman" w:hAnsi="Times New Roman" w:eastAsia="Times New Roman" w:cs="Times New Roman"/><w:sz w:val="16"/><w:szCs w:val="16"/><w:b w:val="1"/><w:bCs w:val="1"/><w:spacing w:val="0"/></w:rPr><w:t xml:space="preserve">Age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Position(s)</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Director, President and Chief Executive Officer</w:t></w:r></w:p></w:tc></w:tr><w:tr><w:trPr/><w:tc><w:tcPr><w:tcW w:w="5000" w:type="pct"/><w:vAlign w:val="top"/><w:noWrap/></w:tcPr><w:p><w:pPr/><w:r><w:rPr><w:rFonts w:ascii="&quot;Times New Roman&quot;" w:hAnsi="&quot;Times New Roman&quot;" w:eastAsia="&quot;Times New Roman&quot;" w:cs="&quot;Times New Roman&quot;"/><w:sz w:val="20"/><w:szCs w:val="20"/><w:spacing w:val="0"/></w:rPr><w:t xml:space="preserve">David C.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Chief Financial Officer</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Patrick Bilbo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Chief Operating Officer</w:t></w:r></w:p></w:tc></w:tr><w:tr><w:trPr/><w:tc><w:tcPr><w:tcW w:w="5000" w:type="pct"/><w:vAlign w:val="top"/><w:noWrap/></w:tcPr><w:p><w:pPr/><w:r><w:rPr><w:rFonts w:ascii="&quot;Times New Roman&quot;" w:hAnsi="&quot;Times New Roman&quot;" w:eastAsia="&quot;Times New Roman&quot;" w:cs="&quot;Times New Roman&quot;"/><w:sz w:val="20"/><w:szCs w:val="20"/><w:spacing w:val="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Vice President and General Counsel</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Brian Grow</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Chief Commercial Officer</w:t></w:r></w:p></w:tc></w:tr><w:tr><w:trPr/><w:tc><w:tcPr><w:tcW w:w="5000" w:type="pct"/><w:vAlign w:val="top"/><w:noWrap/></w:tcPr><w:p><w:pPr/><w:r><w:rPr><w:rFonts w:ascii="&quot;Times New Roman&quot;" w:hAnsi="&quot;Times New Roman&quot;" w:eastAsia="&quot;Times New Roman&quot;" w:cs="&quot;Times New Roman&quot;"/><w:sz w:val="20"/><w:szCs w:val="20"/><w:spacing w:val="0"/></w:rPr><w:t xml:space="preserve">Antonio S. Montecalvo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Vice President, Health Policy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Alan A. Ades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Director, Chair of the Board</w:t></w:r></w:p></w:tc></w:tr><w:tr><w:trPr/><w:tc><w:tcPr><w:tcW w:w="5000" w:type="pct"/><w:vAlign w:val="top"/><w:noWrap/></w:tcPr><w:p><w:pPr/><w:r><w:rPr><w:rFonts w:ascii="&quot;Times New Roman&quot;" w:hAnsi="&quot;Times New Roman&quot;" w:eastAsia="&quot;Times New Roman&quot;" w:cs="&quot;Times New Roman&quot;"/><w:sz w:val="20"/><w:szCs w:val="20"/><w:spacing w:val="0"/></w:rPr><w:t xml:space="preserve">Robert Ades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48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Director</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Michael J. Driscoll(1)(2)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61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Director</w:t></w:r></w:p></w:tc></w:tr><w:tr><w:trPr/><w:tc><w:tcPr><w:tcW w:w="5000" w:type="pct"/><w:vAlign w:val="top"/><w:noWrap/></w:tcPr><w:p><w:pPr/><w:r><w:rPr><w:rFonts w:ascii="&quot;Times New Roman&quot;" w:hAnsi="&quot;Times New Roman&quot;" w:eastAsia="&quot;Times New Roman&quot;" w:cs="&quot;Times New Roman&quot;"/><w:sz w:val="20"/><w:szCs w:val="20"/><w:spacing w:val="0"/></w:rPr><w:t xml:space="preserve">Prathyusha Duraibabu(2)(3)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43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Director</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David Erani</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Director</w:t></w:r></w:p></w:tc></w:tr><w:tr><w:trPr/><w:tc><w:tcPr><w:tcW w:w="5000" w:type="pct"/><w:vAlign w:val="top"/><w:noWrap/></w:tcPr><w:p><w:pPr/><w:r><w:rPr><w:rFonts w:ascii="&quot;Times New Roman&quot;" w:hAnsi="&quot;Times New Roman&quot;" w:eastAsia="&quot;Times New Roman&quot;" w:cs="&quot;Times New Roman&quot;"/><w:sz w:val="20"/><w:szCs w:val="20"/><w:spacing w:val="0"/></w:rPr><w:t xml:space="preserve">Jon Giacomin(1)(3)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Director, Chair of Nominating Committee and Chair of Compensation Committee</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Arthur S. Leibowitz(1)(2)(3)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center"/></w:pPr><w:r><w:rPr><w:rFonts w:ascii="Times New Roman" w:hAnsi="Times New Roman" w:eastAsia="Times New Roman" w:cs="Times New Roman"/><w:sz w:val="20"/><w:szCs w:val="20"/><w:shd w:val="clear" w:fill="CCEEFF"/></w:rPr><w:t xml:space="preserve">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Director, Chair of Audit Committee</w:t></w:r></w:p></w:tc></w:tr><w:tr><w:trPr/><w:tc><w:tcPr><w:tcW w:w="5000" w:type="pct"/><w:vAlign w:val="top"/><w:noWrap/></w:tcPr><w:p><w:pPr/><w:r><w:rPr><w:rFonts w:ascii="&quot;Times New Roman&quot;" w:hAnsi="&quot;Times New Roman&quot;" w:eastAsia="&quot;Times New Roman&quot;" w:cs="&quot;Times New Roman&quot;"/><w:sz w:val="20"/><w:szCs w:val="20"/><w:spacing w:val="0"/></w:rPr><w:t xml:space="preserve">Glenn H. Nussdorf</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67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Director</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Member of the Nominating Committee.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Member of the Audit Committee.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Member of the Compensation Committee. </w:t></w:r></w:p></w:tc></w:tr></w:tbl><w:p><w:pPr><w:jc w:val="start"/></w:pPr><w:r><w:rPr><w:rFonts w:ascii="&quot;Times New Roman&quot;" w:hAnsi="&quot;Times New Roman&quot;" w:eastAsia="&quot;Times New Roman&quot;" w:cs="&quot;Times New Roman&quot;"/><w:sz w:val="20"/><w:szCs w:val="20"/><w:b w:val="1"/><w:bCs w:val="1"/><w:spacing w:val="0"/></w:rPr><w:t xml:space="preserve">Executive Officers </w:t></w:r></w:p><w:p><w:pPr><w:jc w:val="start"/></w:pPr><w:r><w:rPr><w:rFonts w:ascii="Times New Roman" w:hAnsi="Times New Roman" w:eastAsia="Times New Roman" w:cs="Times New Roman"/><w:sz w:val="20"/><w:szCs w:val="20"/><w:b w:val="1"/><w:bCs w:val="1"/><w:i w:val="1"/><w:iCs w:val="1"/><w:spacing w:val="0"/></w:rPr><w:t xml:space="preserve">Gary S. Gillheeney, Sr.</w:t></w:r></w:p><w:p><w:pPr><w:jc w:val="start"/></w:pPr><w:r><w:rPr><w:rFonts w:ascii="Times New Roman" w:hAnsi="Times New Roman" w:eastAsia="Times New Roman" w:cs="Times New Roman"/><w:sz w:val="20"/><w:szCs w:val="20"/></w:rPr><w:t xml:space="preserve"> has served as our President and Chief Executive Officer since 2014 and as a member of our board of directors since 2018. Previously, he served as our Executive Vice President, Chief Operating Officer and Chief Financial Officer from 2003 to 2014 and as our Chief Financial Officer from 2002 to 2003. Prior to joining Organogenesis, Mr. Gillheeney held executive positions at Innovative Clinical Solutions, Ltd., a provider of decision support and clinical knowledge solutions to healthcare staff, from 1999 to 2002, as its Chief Operating Officer, Chief Financial Officer, as well as Treasurer and Secretary. Prior to joining Innovative Clinical Solutions, Mr. Gillheeney held positions as Senior Vice President, Chief Financial Officer, Treasurer, and Assistant Secretary at Providence Energy Corporation. Mr. Gillheeney has a B.S. in Accounting from American International College and an M.B.A. from Bryant College. We believe that Mr. Gillheeney is qualified to serve on our board of directors due to his service as our President and Chief Executive Officer and his extensive knowledge of our company and industry. </w:t></w:r></w:p><w:p><w:pPr><w:jc w:val="start"/></w:pPr><w:r><w:rPr><w:rFonts w:ascii="Times New Roman" w:hAnsi="Times New Roman" w:eastAsia="Times New Roman" w:cs="Times New Roman"/><w:sz w:val="20"/><w:szCs w:val="20"/><w:b w:val="1"/><w:bCs w:val="1"/><w:i w:val="1"/><w:iCs w:val="1"/><w:spacing w:val="0"/></w:rPr><w:t xml:space="preserve">David C. Francisco</w:t></w:r></w:p><w:p><w:pPr><w:jc w:val="start"/></w:pPr><w:r><w:rPr><w:rFonts w:ascii="Times New Roman" w:hAnsi="Times New Roman" w:eastAsia="Times New Roman" w:cs="Times New Roman"/><w:sz w:val="20"/><w:szCs w:val="20"/></w:rPr><w:t xml:space="preserve"> has served as our Chief Financial Officer since 2021. Prior to joining Organogenesis, he spent twenty years at PerkinElmer, Inc., most recently serving as Vice President and Treasurer from 2017 until 2021. Mr. Francisco also served as interim Chief Financial Officer of PerkinElmer’s Discovery and Analytical Sciences segment for part of 2017, and from 2014 until 2016 he served as Vice President and Treasurer of PerkinElmer, as a Financial and Planning Analysis leader at PerkinElmer and as Chief Financial Officer of PerkinElmer’s Human Health business. Mr. Francisco holds an M.B.A. in Finance from Bentley College and a B.S. in Industrial Engineering & Operations Research from the University of Massachusetts, Amherst. </w:t></w:r></w:p><w:p><w:pPr><w:jc w:val="start"/></w:pPr><w:r><w:rPr><w:rFonts w:ascii="Times New Roman" w:hAnsi="Times New Roman" w:eastAsia="Times New Roman" w:cs="Times New Roman"/><w:sz w:val="20"/><w:szCs w:val="20"/><w:b w:val="1"/><w:bCs w:val="1"/><w:i w:val="1"/><w:iCs w:val="1"/><w:spacing w:val="0"/></w:rPr><w:t xml:space="preserve">Patrick Bilbo</w:t></w:r></w:p><w:p><w:pPr><w:jc w:val="start"/></w:pPr><w:r><w:rPr><w:rFonts w:ascii="Times New Roman" w:hAnsi="Times New Roman" w:eastAsia="Times New Roman" w:cs="Times New Roman"/><w:sz w:val="20"/><w:szCs w:val="20"/></w:rPr><w:t xml:space="preserve"> has served as our Chief Operating Officer since 2017. Previously, he served as our Senior Vice President, Regulatory, Government Affairs and Administration and other executive positions from 1999 to 2017. Prior to joining Organogenesis, he was Director, Regulatory and Clinical Affairs, for Cytyc Corporation from 1994 to 1998. Mr. Bilbo earned an M.B.A. from the Boston University Questrom School of Business, an M.A. in Biology and an M.A. in Technology Strategy and Policy from the Boston University Graduate School of Arts & Sciences, and a B.S. degree in Biology from Syracuse University. </w:t></w:r></w:p><w:p><w:pPr><w:jc w:val="start"/></w:pPr><w:r><w:rPr><w:rFonts w:ascii="Times New Roman" w:hAnsi="Times New Roman" w:eastAsia="Times New Roman" w:cs="Times New Roman"/><w:sz w:val="20"/><w:szCs w:val="20"/><w:b w:val="1"/><w:bCs w:val="1"/><w:i w:val="1"/><w:iCs w:val="1"/><w:spacing w:val="0"/></w:rPr><w:t xml:space="preserve">Lori Freedman</w:t></w:r></w:p><w:p><w:pPr><w:jc w:val="start"/></w:pPr><w:r><w:rPr><w:rFonts w:ascii="Times New Roman" w:hAnsi="Times New Roman" w:eastAsia="Times New Roman" w:cs="Times New Roman"/><w:sz w:val="20"/><w:szCs w:val="20"/></w:rPr><w:t xml:space="preserve"> has served as our Vice President and General Counsel since 2018 and as our General Counsel since 2017. Previously, she served as Vice President, Corporate Affairs, General Counsel and Secretary of pSivida Corp. (n/k/a EyePoint Pharmaceuticals), a specialty biopharmaceutical company, from 2005 to 2016, as Vice President, Corporate Affairs, General Counsel and Secretary of Control Delivery Systems, a biotechnology company, from September 2001 to December 2005 (when it was acquired by pSivida Corp.), as Vice President, Business Development of Macromedia, a computer software company, from March 2001 to September 2001, and as Vice President, General Counsel for Allaire Corporation, a computer software company, from 1998 to 2001. Mrs. Freedman holds a J.D. from the Boston University School of Law and a B.A. in economics and psychology from Brandeis University.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b w:val="1"/><w:bCs w:val="1"/><w:i w:val="1"/><w:iCs w:val="1"/><w:spacing w:val="0"/></w:rPr><w:t xml:space="preserve">Brian Grow</w:t></w:r></w:p><w:p><w:pPr><w:jc w:val="start"/></w:pPr><w:r><w:rPr><w:rFonts w:ascii="Times New Roman" w:hAnsi="Times New Roman" w:eastAsia="Times New Roman" w:cs="Times New Roman"/><w:sz w:val="20"/><w:szCs w:val="20"/></w:rPr><w:t xml:space="preserve"> has served as our Chief Commercial Officer since 2017. Since 2004, he has served in a number of roles at Organogenesis with increasing responsibility, including as our Director of Sales, Commercial Operations, from 2013 to 2016, Associate Director, Marketing, from 2012 to 2013, Project Manager—Apligraf from 2011 to 2013, Regional Sales Manager from 2006 to 2011 and Tissue Regeneration Specialist from 2004 to 2006. Prior to joining Organogenesis, he was a pharmaceutical sales representative for Bristol-Myers Squibb from 2003 to 2004 and a tissue engineering specialist for Innovex/Novartis from 2000 to 2003. Mr. Grow earned a B.A. in Psychology from William Jewell College. </w:t></w:r></w:p><w:p><w:pPr><w:jc w:val="start"/></w:pPr><w:r><w:rPr><w:rFonts w:ascii="Times New Roman" w:hAnsi="Times New Roman" w:eastAsia="Times New Roman" w:cs="Times New Roman"/><w:sz w:val="20"/><w:szCs w:val="20"/><w:b w:val="1"/><w:bCs w:val="1"/><w:i w:val="1"/><w:iCs w:val="1"/><w:spacing w:val="0"/></w:rPr><w:t xml:space="preserve">Antonio S. Montecalvo</w:t></w:r></w:p><w:p><w:pPr><w:jc w:val="start"/></w:pPr><w:r><w:rPr><w:rFonts w:ascii="Times New Roman" w:hAnsi="Times New Roman" w:eastAsia="Times New Roman" w:cs="Times New Roman"/><w:sz w:val="20"/><w:szCs w:val="20"/></w:rPr><w:t xml:space="preserve"> has served as our Vice President, Health Policy since 2022. Previously, he served as our Vice President, Health Policy and Contracting from 2017 to 2021. Since 2003, he has served in various roles at Organogenesis, including as Director of Customer Support Services from 2003 to 2006. Prior to joining Organogenesis, Mr. Montecalvo served as Director of Accounting for Innovative Clinical Solutions, LTD from 2000 to 2003, as Senior Contracts Specialist for UnitedHealth Group from 1996 to 2000 and as a Senior Accountant for Piccerelli, Gilstein & Company, LLP from 1994 to 1996. Mr. Montecalvo holds a B.S. in Accounting from the University of Rhode Island. </w:t></w:r></w:p><w:p><w:pPr><w:jc w:val="start"/></w:pPr><w:r><w:rPr><w:rFonts w:ascii="&quot;Times New Roman&quot;" w:hAnsi="&quot;Times New Roman&quot;" w:eastAsia="&quot;Times New Roman&quot;" w:cs="&quot;Times New Roman&quot;"/><w:sz w:val="20"/><w:szCs w:val="20"/><w:b w:val="1"/><w:bCs w:val="1"/><w:spacing w:val="0"/></w:rPr><w:t xml:space="preserve">Directors </w:t></w:r></w:p><w:p><w:pPr><w:jc w:val="start"/></w:pPr><w:r><w:rPr><w:rFonts w:ascii="&quot;Times New Roman&quot;" w:hAnsi="&quot;Times New Roman&quot;" w:eastAsia="&quot;Times New Roman&quot;" w:cs="&quot;Times New Roman&quot;"/><w:sz w:val="20"/><w:szCs w:val="20"/><w:spacing w:val="0"/></w:rPr><w:t xml:space="preserve">Below we have identified our directors (other than Mr. Gillheeney, our President and Chief Executive Officer, who is an executive officer identified above) and provided a description of their business experience. </w:t></w:r></w:p><w:p><w:pPr><w:jc w:val="start"/></w:pPr><w:r><w:rPr><w:rFonts w:ascii="Times New Roman" w:hAnsi="Times New Roman" w:eastAsia="Times New Roman" w:cs="Times New Roman"/><w:sz w:val="20"/><w:szCs w:val="20"/><w:b w:val="1"/><w:bCs w:val="1"/><w:i w:val="1"/><w:iCs w:val="1"/><w:spacing w:val="0"/></w:rPr><w:t xml:space="preserve">Alan A. Ades</w:t></w:r></w:p><w:p><w:pPr><w:jc w:val="start"/></w:pPr><w:r><w:rPr><w:rFonts w:ascii="Times New Roman" w:hAnsi="Times New Roman" w:eastAsia="Times New Roman" w:cs="Times New Roman"/><w:sz w:val="20"/><w:szCs w:val="20"/></w:rPr><w:t xml:space="preserve"> has served as a member of our board of directors since 2003. Mr. Ades is a </w:t></w:r></w:p><w:p><w:pPr><w:jc w:val="start"/></w:pPr><w:r><w:rPr><w:rFonts w:ascii="Times New Roman" w:hAnsi="Times New Roman" w:eastAsia="Times New Roman" w:cs="Times New Roman"/><w:sz w:val="20"/><w:szCs w:val="20"/><w:spacing w:val="0"/></w:rPr><w:t xml:space="preserve">Co-founder</w:t></w:r></w:p><w:p><w:pPr><w:jc w:val="start"/></w:pPr><w:r><w:rPr><w:rFonts w:ascii="Times New Roman" w:hAnsi="Times New Roman" w:eastAsia="Times New Roman" w:cs="Times New Roman"/><w:sz w:val="20"/><w:szCs w:val="20"/></w:rPr><w:t xml:space="preserve"> and Principal Owner of A & E Stores, Inc., and served as its President and Chief Executive Officer from 1966 through 2020. Mr. Ades founded Rugby Realty Co., Inc. in 1980 and has served as its Principal since 1980. Mr. Ades has a B.A. in Business Administration from the University of Michigan and an L.L.B. from New York University Law School. We believe Mr. Ades is qualified to serve on our board of directors due to his investment and financial experience, his expertise in business management and his long term significant ownership interest in the Company. Mr. Ades is the father of Robert Ades. </w:t></w:r></w:p><w:p><w:pPr><w:jc w:val="start"/></w:pPr><w:r><w:rPr><w:rFonts w:ascii="Times New Roman" w:hAnsi="Times New Roman" w:eastAsia="Times New Roman" w:cs="Times New Roman"/><w:sz w:val="20"/><w:szCs w:val="20"/><w:b w:val="1"/><w:bCs w:val="1"/><w:i w:val="1"/><w:iCs w:val="1"/><w:spacing w:val="0"/></w:rPr><w:t xml:space="preserve">Robert Ades</w:t></w:r></w:p><w:p><w:pPr><w:jc w:val="start"/></w:pPr><w:r><w:rPr><w:rFonts w:ascii="Times New Roman" w:hAnsi="Times New Roman" w:eastAsia="Times New Roman" w:cs="Times New Roman"/><w:sz w:val="20"/><w:szCs w:val="20"/></w:rPr><w:t xml:space="preserve"> has been a member of our board of directors since 2020. Mr. Ades has been a Principal of Rugby Realty Co., Inc. since 2005. Mr. Ades has over fifteen years of experience in commercial real estate. Mr. Ades received a B.A. in English Literature from the University of Michigan. We believe Mr. Ades is qualified to serve on our board of directors due to his business experience and the Ades family’s long term significant ownership interest in the Company. Mr. Ades is the son of Alan A. Ades. </w:t></w:r></w:p><w:p><w:pPr><w:jc w:val="start"/></w:pPr><w:r><w:rPr><w:rFonts w:ascii="Times New Roman" w:hAnsi="Times New Roman" w:eastAsia="Times New Roman" w:cs="Times New Roman"/><w:sz w:val="20"/><w:szCs w:val="20"/><w:b w:val="1"/><w:bCs w:val="1"/><w:i w:val="1"/><w:iCs w:val="1"/><w:spacing w:val="0"/></w:rPr><w:t xml:space="preserve">Michael J. Driscoll </w:t></w:r></w:p><w:p><w:pPr><w:jc w:val="start"/></w:pPr><w:r><w:rPr><w:rFonts w:ascii="Times New Roman" w:hAnsi="Times New Roman" w:eastAsia="Times New Roman" w:cs="Times New Roman"/><w:sz w:val="20"/><w:szCs w:val="20"/></w:rPr><w:t xml:space="preserve">has served as a member of our board of directors since 2022. Dr. Driscoll served as a Dean of the Richard J. Bolte, Sr. School of Business at Mount St. Mary’s University from 2018 until 2021. From 2010 to 2018, Dr. Driscoll was a professor of finance and economics at the Robert B. Willumstad School of Business at Adelphi University. Dr. Driscoll received a B.S. in Marine Transportation from SUNY Maritime College, an M.B.A. from Adelphi University and an Ed.D. from the University of Pennsylvania. We believe Dr. Driscoll is qualified to serve on our board of directors due to his experience in finance and economics. </w:t></w:r></w:p><w:p><w:pPr><w:jc w:val="start"/></w:pPr><w:r><w:rPr><w:rFonts w:ascii="Times New Roman" w:hAnsi="Times New Roman" w:eastAsia="Times New Roman" w:cs="Times New Roman"/><w:sz w:val="20"/><w:szCs w:val="20"/><w:b w:val="1"/><w:bCs w:val="1"/><w:i w:val="1"/><w:iCs w:val="1"/><w:spacing w:val="0"/></w:rPr><w:t xml:space="preserve">Prathyusha</w:t></w:r></w:p><w:p><w:pPr><w:jc w:val="start"/></w:pPr><w:r><w:rPr><w:rFonts w:ascii="Times New Roman" w:hAnsi="Times New Roman" w:eastAsia="Times New Roman" w:cs="Times New Roman"/><w:sz w:val="20"/><w:szCs w:val="20"/><w:b w:val="1"/><w:bCs w:val="1"/><w:i w:val="1"/><w:iCs w:val="1"/><w:spacing w:val="0"/></w:rPr><w:t xml:space="preserve"> Duraibabu</w:t></w:r></w:p><w:p><w:pPr><w:jc w:val="start"/></w:pPr><w:r><w:rPr><w:rFonts w:ascii="Times New Roman" w:hAnsi="Times New Roman" w:eastAsia="Times New Roman" w:cs="Times New Roman"/><w:sz w:val="20"/><w:szCs w:val="20"/></w:rPr><w:t xml:space="preserve"> has been a member of our board of directors since 2021. She has over 22 years of experience in optimizing financial operations, driving organizational change, building diverse teams, and delivering results. Ms. Duraibabu has served as Chief Financial Officer of Sangamo Therapeutics, Inc., a genomic medicine company since June 2021 and has been with the company since March 2019 as its Vice President, Finance. Prior to joining Sangamo, Ms. Duraibabu served as Corporate Controller at Pacific Biosciences of California, Inc., a public commercial biotechnology company, from June 2010 to March 2019, where she was responsible for global financial operations, strategy, audit, and tax. Ms. Duraibabu received her B.S. in Accounting from Oxford Brookes University in Oxford, United Kingdom, and her M.B.A. from San Jose State University, California. Ms. Duraibabu is a Certified Public Accountant in the State of California. We believe that Ms. Duraibabu is qualified to serve on our board of directors due to her breadth of financial, operational, and compliance experience in various industries including biotechnology. </w:t></w:r></w:p><w:p><w:pPr><w:jc w:val="start"/></w:pPr><w:r><w:rPr><w:rFonts w:ascii="Times New Roman" w:hAnsi="Times New Roman" w:eastAsia="Times New Roman" w:cs="Times New Roman"/><w:sz w:val="20"/><w:szCs w:val="20"/><w:b w:val="1"/><w:bCs w:val="1"/><w:i w:val="1"/><w:iCs w:val="1"/><w:spacing w:val="0"/></w:rPr><w:t xml:space="preserve">David Erani</w:t></w:r></w:p><w:p><w:pPr><w:jc w:val="start"/></w:pPr><w:r><w:rPr><w:rFonts w:ascii="Times New Roman" w:hAnsi="Times New Roman" w:eastAsia="Times New Roman" w:cs="Times New Roman"/><w:sz w:val="20"/><w:szCs w:val="20"/></w:rPr><w:t xml:space="preserve"> has served as a member of our board of directors since 2020. Mr. Erani has served as a Senior Consultant for UIC Inc. since 2015. Mr. Erani received a B.A. in Mathematics and a B.S. in Physics from Johns Hopkins University. We believe Mr. Erani is qualified to serve on our board of directors due to his business experience and the Erani family’s long term significant ownership interest in the Company. Mr. Erani is the son of Albert Erani, a former director. </w:t></w:r></w:p><w:p><w:pPr><w:jc w:val="start"/></w:pPr><w:r><w:rPr><w:rFonts w:ascii="Times New Roman" w:hAnsi="Times New Roman" w:eastAsia="Times New Roman" w:cs="Times New Roman"/><w:sz w:val="20"/><w:szCs w:val="20"/><w:b w:val="1"/><w:bCs w:val="1"/><w:i w:val="1"/><w:iCs w:val="1"/><w:spacing w:val="0"/></w:rPr><w:t xml:space="preserve">Jon Giacomin</w:t></w:r></w:p><w:p><w:pPr><w:jc w:val="start"/></w:pPr><w:r><w:rPr><w:rFonts w:ascii="Times New Roman" w:hAnsi="Times New Roman" w:eastAsia="Times New Roman" w:cs="Times New Roman"/><w:sz w:val="20"/><w:szCs w:val="20"/></w:rPr><w:t xml:space="preserve"> has been a member of our board of directors since 2021. Mr. Giacomin served as the Chief Executive Officer of U.S. Anesthesia Partners, Inc. (“USAP”), a privately-owned, single-specialty anesthesia practice, from 2019 until 2021. Prior to joining USAP, Mr. Giacomin held various leadership positions at Cardinal Health, Inc. (NYSE: CAH) from 2001 to 2019, a leading distributor of pharmaceuticals, global manufacturer and distributor of medical and laboratory products and provider of performance and data solutions for health care facilities. Mr. Giacomin most recently served as Chief Executive Officer of Cardinal Health’s Medical Segment and previously served as Chief Executive Officer of its Pharmaceutical Segment from 2014 to 2018. Mr. Giacomin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began his career as a Nuclear Engineer and Surface Warfare Officer in the U.S. Navy and subsequently held positions at Sotera Health Company (Nasdaq: SHC) and Griffith Micro Science International Inc. before joining Cardinal Health. Mr. Giacomin received a B.S. in Mechanical Engineering from the University of Notre Dame, and an MBA in Finance from the University of Chicago’s Booth School of Business. We believe that Mr. Giacomin is qualified to serve on our board of directors due to his experience in business management and experience working with public and private companies in the healthcare industry. </w:t></w:r></w:p><w:p><w:pPr><w:jc w:val="start"/></w:pPr><w:r><w:rPr><w:rFonts w:ascii="Times New Roman" w:hAnsi="Times New Roman" w:eastAsia="Times New Roman" w:cs="Times New Roman"/><w:sz w:val="20"/><w:szCs w:val="20"/><w:b w:val="1"/><w:bCs w:val="1"/><w:i w:val="1"/><w:iCs w:val="1"/><w:spacing w:val="0"/></w:rPr><w:t xml:space="preserve">Arthur S. Leibowitz</w:t></w:r></w:p><w:p><w:pPr><w:jc w:val="start"/></w:pPr><w:r><w:rPr><w:rFonts w:ascii="Times New Roman" w:hAnsi="Times New Roman" w:eastAsia="Times New Roman" w:cs="Times New Roman"/><w:sz w:val="20"/><w:szCs w:val="20"/></w:rPr><w:t xml:space="preserve"> has been a member of our board of directors since 2018. Mr. Leibowitz is a clinical professor at the Robert B. Willumstad School of Business at Adelphi University, where he teaches courses in accounting and auditing to both graduate and undergraduate students. Mr. Leibowitz began as an adjunct professor at Adelphi University in 2008, became a full-time lecturer in 2010 and was promoted to clinical professor in 2013. Mr. Leibowitz previously served as a member of the board of directors and the audit committee of Arotech Corporation (formerly on Nasdaq: ARTX) from 2009 to 2014. Before joining Adelphi University, Mr. Leibowitz was an audit and business assurance partner at PricewaterhouseCoopers. During his twenty-seven years at PwC, Mr. Leibowitz served in a national leadership role for PwC’s retail industry group and was the portfolio audit partner for one of PwC’s leading private equity firm clients. Mr. Leibowitz is a certified public accountant in New York State and received a B.S. in accounting from Brooklyn College and a Masters of Accountancy from Stetson University. We believe that Mr. Leibowitz is qualified to serve on our board of directors due to his experience working with public and private companies on corporate finance and accounting matters. </w:t></w:r></w:p><w:p><w:pPr><w:jc w:val="start"/></w:pPr><w:r><w:rPr><w:rFonts w:ascii="Times New Roman" w:hAnsi="Times New Roman" w:eastAsia="Times New Roman" w:cs="Times New Roman"/><w:sz w:val="20"/><w:szCs w:val="20"/><w:b w:val="1"/><w:bCs w:val="1"/><w:i w:val="1"/><w:iCs w:val="1"/><w:spacing w:val="0"/></w:rPr><w:t xml:space="preserve">Glenn H. Nussdorf</w:t></w:r></w:p><w:p><w:pPr><w:jc w:val="start"/></w:pPr><w:r><w:rPr><w:rFonts w:ascii="Times New Roman" w:hAnsi="Times New Roman" w:eastAsia="Times New Roman" w:cs="Times New Roman"/><w:sz w:val="20"/><w:szCs w:val="20"/></w:rPr><w:t xml:space="preserve"> has served as a member of our board of directors since 2003. Mr. Nussdorf has served as Chief Executive Officer of Quality King Distributors, Inc., a distributor of health and beauty care products and prescription drugs, and its subsidiary QK Healthcare, Inc., since 1999. Previously, Mr. Nussdorf served as Chief Operating Officer of Quality King from 1997 to 1998 and as a Senior Vice President from 1994 to 1996. Mr. Nussdorf is also a major shareholder of Parlux Holdings, Inc., a vertically integrated wholesale distributor and specialty retailer of perfumes and fragrances. Since 2017, Mr. Nussdorf has also served as a member of the board of directors of Parlux Holdings, Inc. We believe Mr. Nussdorf is qualified to serve on our board of directors due to his investment and financial experience, his expertise in business management and his long term significant ownership interest in the Company. </w:t></w:r></w:p><w:p><w:pPr><w:jc w:val="center"/></w:pPr><w:r><w:rPr><w:rFonts w:ascii="&quot;Times New Roman&quot;" w:hAnsi="&quot;Times New Roman&quot;" w:eastAsia="&quot;Times New Roman&quot;" w:cs="&quot;Times New Roman&quot;"/><w:sz w:val="20"/><w:szCs w:val="20"/><w:b w:val="1"/><w:bCs w:val="1"/><w:spacing w:val="0"/></w:rPr><w:t xml:space="preserve">CORPORATE GOVERNANCE </w:t></w:r></w:p><w:p><w:pPr><w:jc w:val="start"/></w:pPr><w:r><w:rPr><w:rFonts w:ascii="&quot;Times New Roman&quot;" w:hAnsi="&quot;Times New Roman&quot;" w:eastAsia="&quot;Times New Roman&quot;" w:cs="&quot;Times New Roman&quot;"/><w:sz w:val="20"/><w:szCs w:val="20"/><w:b w:val="1"/><w:bCs w:val="1"/><w:spacing w:val="0"/></w:rPr><w:t xml:space="preserve">Code of Ethics and Conduct; Corporate Governance Guidelines </w:t></w:r></w:p><w:p><w:pPr><w:jc w:val="start"/></w:pPr><w:r><w:rPr><w:rFonts w:ascii="Times New Roman" w:hAnsi="Times New Roman" w:eastAsia="Times New Roman" w:cs="Times New Roman"/><w:sz w:val="20"/><w:szCs w:val="20"/></w:rPr><w:t xml:space="preserve">We have adopted a written code of ethics and conduct that applies to our directors, executive officers and employees, as well as corporate governance guidelines. Copies of the code of ethics and conduct and our corporate governance guidelines are posted on the Investor Relations (Investors > Corporate Governance > Documents & Charters) section of our website, which is located at</w:t></w:r></w:p><w:p><w:pPr><w:jc w:val="start"/></w:pPr><w:r><w:rPr><w:rFonts w:ascii="Times New Roman" w:hAnsi="Times New Roman" w:eastAsia="Times New Roman" w:cs="Times New Roman"/><w:sz w:val="20"/><w:szCs w:val="20"/><w:i w:val="1"/><w:iCs w:val="1"/><w:spacing w:val="0"/></w:rPr><w:t xml:space="preserve"> www.organogenesis.com</w:t></w:r></w:p><w:p><w:pPr><w:jc w:val="start"/></w:pPr><w:r><w:rPr><w:rFonts w:ascii="Times New Roman" w:hAnsi="Times New Roman" w:eastAsia="Times New Roman" w:cs="Times New Roman"/><w:sz w:val="20"/><w:szCs w:val="20"/></w:rPr><w:t xml:space="preserve">. If we make any substantive amendments to the code of ethics and conduct or grant any waivers from the code of ethics and conduct for any executive officer or director, we will disclose the nature of such amendment or waiver on our website or on a Form </w:t></w:r></w:p><w:p><w:pPr><w:jc w:val="start"/></w:pPr><w:r><w:rPr><w:rFonts w:ascii="Times New Roman" w:hAnsi="Times New Roman" w:eastAsia="Times New Roman" w:cs="Times New Roman"/><w:sz w:val="20"/><w:szCs w:val="20"/><w:spacing w:val="0"/></w:rPr><w:t xml:space="preserve">8-K.</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b w:val="1"/><w:bCs w:val="1"/><w:spacing w:val="0"/></w:rPr><w:t xml:space="preserve">Delinquent Section 16(a) Reports </w:t></w:r></w:p><w:p><w:pPr><w:jc w:val="start"/></w:pPr><w:r><w:rPr><w:rFonts w:ascii="Times New Roman" w:hAnsi="Times New Roman" w:eastAsia="Times New Roman" w:cs="Times New Roman"/><w:sz w:val="20"/><w:szCs w:val="20"/></w:rPr><w:t xml:space="preserve">Section 16(a) of the Exchange Act requires our directors and executive officers, and persons who beneficially own more than ten percent of a registered class of our equity securities, to file reports of ownership of, and transactions in, our securities with the Securities and Exchange Commission. These directors, executive officers and </w:t></w:r></w:p><w:p><w:pPr><w:jc w:val="start"/></w:pPr><w:r><w:rPr><w:rFonts w:ascii="Times New Roman" w:hAnsi="Times New Roman" w:eastAsia="Times New Roman" w:cs="Times New Roman"/><w:sz w:val="20"/><w:szCs w:val="20"/><w:spacing w:val="0"/></w:rPr><w:t xml:space="preserve">ten-percent</w:t></w:r></w:p><w:p><w:pPr><w:jc w:val="start"/></w:pPr><w:r><w:rPr><w:rFonts w:ascii="Times New Roman" w:hAnsi="Times New Roman" w:eastAsia="Times New Roman" w:cs="Times New Roman"/><w:sz w:val="20"/><w:szCs w:val="20"/></w:rPr><w:t xml:space="preserve"> stockholders are also required to furnish us with copies of all Section 16(a) forms they file. </w:t></w:r></w:p><w:p><w:pPr><w:jc w:val="start"/></w:pPr><w:r><w:rPr><w:rFonts w:ascii="Times New Roman" w:hAnsi="Times New Roman" w:eastAsia="Times New Roman" w:cs="Times New Roman"/><w:sz w:val="20"/><w:szCs w:val="20"/></w:rPr><w:t xml:space="preserve">Based solely on a review of the copies of such forms received by us, and on written representations from certain reporting persons, we believe that during fiscal year 2021 our directors, executive officers and </w:t></w:r></w:p><w:p><w:pPr><w:jc w:val="start"/></w:pPr><w:r><w:rPr><w:rFonts w:ascii="Times New Roman" w:hAnsi="Times New Roman" w:eastAsia="Times New Roman" w:cs="Times New Roman"/><w:sz w:val="20"/><w:szCs w:val="20"/><w:spacing w:val="0"/></w:rPr><w:t xml:space="preserve">ten-percent</w:t></w:r></w:p><w:p><w:pPr><w:jc w:val="start"/></w:pPr><w:r><w:rPr><w:rFonts w:ascii="Times New Roman" w:hAnsi="Times New Roman" w:eastAsia="Times New Roman" w:cs="Times New Roman"/><w:sz w:val="20"/><w:szCs w:val="20"/></w:rPr><w:t xml:space="preserve"> stockholders complied with all applicable Section 16(a) filing requirements, except that six Form 4 filings with respect to eight sales of securities by Starr Wisdom were not timely filed, a Form 4 filing with respect to a sale of securities by Dennis Erani was not timely filed, and a Form 4 filing with respect to two share purchase transactions by Michael W. Katz was not timely filed. </w:t></w:r></w:p><w:p><w:pPr><w:jc w:val="start"/></w:pPr><w:r><w:rPr><w:rFonts w:ascii="&quot;Times New Roman&quot;" w:hAnsi="&quot;Times New Roman&quot;" w:eastAsia="&quot;Times New Roman&quot;" w:cs="&quot;Times New Roman&quot;"/><w:sz w:val="20"/><w:szCs w:val="20"/><w:b w:val="1"/><w:bCs w:val="1"/><w:spacing w:val="0"/></w:rPr><w:t xml:space="preserve">Audit Committee </w:t></w:r></w:p><w:p><w:pPr><w:jc w:val="start"/></w:pPr><w:r><w:rPr><w:rFonts w:ascii="&quot;Times New Roman&quot;" w:hAnsi="&quot;Times New Roman&quot;" w:eastAsia="&quot;Times New Roman&quot;" w:cs="&quot;Times New Roman&quot;"/><w:sz w:val="20"/><w:szCs w:val="20"/><w:spacing w:val="0"/></w:rPr><w:t xml:space="preserve">The Company has a standing audit committee consisting of Mr. Leibowitz, its chairperson, Dr. Driscoll and Ms. Duraibabu. During 2020 and until May 7, 2021, the audit committee consisted of Mr. Leibowitz, its chairperson, Mr. Wayne Mackie and Mr. Josh Tamaroff. From May 7, 2021 until May 24, 2021, the audit committee consisted of Mr. Leibowitz, its chairperson, Mr. Giacomin and Mr. Tamaroff. From May 24, 2021 until November 19, 2021, the audit committee consisted of Mr. Leibowitz, its chairperson, and Mr. Giacomin. From November 19, 2021 until February 15, 2022, the audit committee consisted of Mr. Leibowitz, its chairperson,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Ms. Duraibabu and Mr. Giacomin The audit committee is responsible for, among other matters: (i) reviewing and discussing with management and the independent auditor the annual audited financial statements, and recommending to the board whether the audited financial statements should be included in the Company’s </w:t></w:r></w:p><w:p><w:pPr><w:jc w:val="start"/></w:pPr><w:r><w:rPr><w:rFonts w:ascii="Times New Roman" w:hAnsi="Times New Roman" w:eastAsia="Times New Roman" w:cs="Times New Roman"/><w:sz w:val="20"/><w:szCs w:val="20"/><w:spacing w:val="0"/></w:rPr><w:t xml:space="preserve">Form 10-K;</w:t></w:r></w:p><w:p><w:pPr><w:jc w:val="start"/></w:pPr><w:r><w:rPr><w:rFonts w:ascii="Times New Roman" w:hAnsi="Times New Roman" w:eastAsia="Times New Roman" w:cs="Times New Roman"/><w:sz w:val="20"/><w:szCs w:val="20"/></w:rPr><w:t xml:space="preserve"> (ii) discussing with management and the independent auditor significant financial reporting issues and judgments made in connection with the preparation of the Company’s financial statements; (iii) discussing with management major risk assessment and risk management policies; (iv) monitoring the independence of the independent auditor; (v) verifying the rotation of the lead (or coordinating) audit partner having primary responsibility for the audit and the audit partner responsible for reviewing the audit as required by law; (vi) reviewing and approving related-party transactions (as required pursuant to the Company’s related party transactions policy); (vii) inquiring and discussing with management the Company’s compliance with applicable laws and regulations; </w:t></w:r></w:p><w:p><w:pPr><w:jc w:val="start"/></w:pPr><w:r><w:rPr><w:rFonts w:ascii="Times New Roman" w:hAnsi="Times New Roman" w:eastAsia="Times New Roman" w:cs="Times New Roman"/><w:sz w:val="20"/><w:szCs w:val="20"/><w:spacing w:val="0"/></w:rPr><w:t xml:space="preserve">(viii) pre-approving</w:t></w:r></w:p><w:p><w:pPr><w:jc w:val="start"/></w:pPr><w:r><w:rPr><w:rFonts w:ascii="Times New Roman" w:hAnsi="Times New Roman" w:eastAsia="Times New Roman" w:cs="Times New Roman"/><w:sz w:val="20"/><w:szCs w:val="20"/></w:rPr><w:t xml:space="preserve"> all audit services and permitted </w:t></w:r></w:p><w:p><w:pPr><w:jc w:val="start"/></w:pPr><w:r><w:rPr><w:rFonts w:ascii="Times New Roman" w:hAnsi="Times New Roman" w:eastAsia="Times New Roman" w:cs="Times New Roman"/><w:sz w:val="20"/><w:szCs w:val="20"/><w:spacing w:val="0"/></w:rPr><w:t xml:space="preserve">non-audit</w:t></w:r></w:p><w:p><w:pPr><w:jc w:val="start"/></w:pPr><w:r><w:rPr><w:rFonts w:ascii="Times New Roman" w:hAnsi="Times New Roman" w:eastAsia="Times New Roman" w:cs="Times New Roman"/><w:sz w:val="20"/><w:szCs w:val="20"/></w:rPr><w:t xml:space="preserve"> services to be performed by the Company’s independent auditor, including the fees and terms of the services to be performed; (ix) appointing or replacing the independent auditor; (x) determining the compensation and oversight of the work of the independent auditor (including resolution of disagreements between management and the independent auditor regarding financial reporting) for the purpose of preparing or issuing an audit report or related work; and (xi) establishing procedures for the receipt, retention and treatment of complaints received by us regarding accounting, internal accounting controls or reports which raise material issues regarding the Company’s financial statements or accounting policies. </w:t></w:r></w:p><w:p><w:pPr><w:jc w:val="start"/></w:pPr><w:r><w:rPr><w:rFonts w:ascii="Times New Roman" w:hAnsi="Times New Roman" w:eastAsia="Times New Roman" w:cs="Times New Roman"/><w:sz w:val="20"/><w:szCs w:val="20"/></w:rPr><w:t xml:space="preserve">Our board of directors has determined that each member of the audit committee: (i) satisfies the Nasdaq independence standards and the independence standards of Rule </w:t></w:r></w:p><w:p><w:pPr><w:jc w:val="start"/></w:pPr><w:r><w:rPr><w:rFonts w:ascii="Times New Roman" w:hAnsi="Times New Roman" w:eastAsia="Times New Roman" w:cs="Times New Roman"/><w:sz w:val="20"/><w:szCs w:val="20"/><w:spacing w:val="0"/></w:rPr><w:t xml:space="preserve">10A-3(b)(1)</w:t></w:r></w:p><w:p><w:pPr><w:jc w:val="start"/></w:pPr><w:r><w:rPr><w:rFonts w:ascii="Times New Roman" w:hAnsi="Times New Roman" w:eastAsia="Times New Roman" w:cs="Times New Roman"/><w:sz w:val="20"/><w:szCs w:val="20"/></w:rPr><w:t xml:space="preserve"> of the Exchange Act and (ii) meets the requirements for financial literacy under applicable rules and regulations of the SEC and Nasdaq. The board of directors has also determined that Mr. Leibowitz and Ms. Duraibabu each qualify as an “audit committee financial expert,” as defined by applicable rules of Nasdaq and the SEC. </w:t></w:r></w:p><w:p><w:pPr><w:jc w:val="start"/></w:pPr><w:r><w:rPr><w:rFonts w:ascii="&quot;Times New Roman&quot;" w:hAnsi="&quot;Times New Roman&quot;" w:eastAsia="&quot;Times New Roman&quot;" w:cs="&quot;Times New Roman&quot;"/><w:sz w:val="20"/><w:szCs w:val="20"/><w:b w:val="1"/><w:bCs w:val="1"/><w:spacing w:val="0"/></w:rPr><w:t xml:space="preserve">Compensation Committee </w:t></w:r></w:p><w:p><w:pPr><w:jc w:val="start"/></w:pPr><w:r><w:rPr><w:rFonts w:ascii="Times New Roman" w:hAnsi="Times New Roman" w:eastAsia="Times New Roman" w:cs="Times New Roman"/><w:sz w:val="20"/><w:szCs w:val="20"/></w:rPr><w:t xml:space="preserve">The Company has a standing compensation committee consisting of Mr. Giacomin, its chairperson, Ms. Duraibabu and Mr. Leibowitz. From November 3, 2020 until May 7, 2021, the compensation committee consisted of Mr. Mackie, its chairperson, Mr. Alan Ades and Mr. Leibowitz. From May 7, 2021 until May 24, 2021, the compensation committee consisted of Mr. Tamaroff, its chairperson, Mr. Alan Ades and Mr. Leibowitz. From May 24, 2021 until July 16, 2021, the compensation committee consisted of Mr. Alan Ades and Mr. Leibowitz. From July 16, 2021 until February 15, 2022, the compensation committee consisted of Mr. Leibowitz, its interim chairperson, Mr. Alan Ades and Mr. Giacomin. Currently, all of the members of our compensation committee are independent. The compensation committee is responsible for recommending to the board of directors the compensation philosophy and policies of the Company in general and for its executive officers in particular. The objectives of the Company’s senior management compensation program are to align compensation with business objectives, individual performance, and the interests of the Company’s stockholders; motivate and reward high levels of performance; recognize and reward the achievement of Company goals; and enable the Company to attract, retain, and reward the highest quality executive talent. Among other things, the compensation committee: (i) reviews and recommends for approval by the board of directors, executive officer compensation, including salary, bonus, and short term and long term incentive compensation levels (including equity compensation) and the corporate goals and objectives relevant to executive officer compensation; (ii) oversees the evaluation of the chief executive officer and other executive officers of the Company; (iii) retains a recognized independent compensation consultant (that meets certain independence factors) to assess the competitiveness of the Company’s compensation levels and practice applicable to the executive officers and directors of the Company; (iv) reviews and makes recommendations to the board of directors with respect to the Company’s employee benefit plans, including all incentive-compensation plans and equity-based plans; (v) reviews and makes recommendations to the board of directors with respect to the compensation of independent directors, committee chairpersons, and committee members, consistent with any applicable requirements of the Nasdaq rules; (vi) reviews any stockholder proposals related to compensation matters and makes recommendations to the board of directors regarding those proposals; (vii) prepares and approves for inclusion in the Company’s annual proxy statement and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the report on executive compensation, if required by the rules of the Securities and Exchange Commission; (viii) to the extent that the Company is required to include a compensation discussion and analysis (CD&A) section in the Company’s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or annual proxy statement, reviews and discusses with the Company’s management the CD&A, and based on such review and discussion, determines whether to recommend to the board of directors that the CD&A be so included; and (ix) reviews and discusses with management the Company’s plans and practices to provide that our compensation programs, plans or practices do not encourage employees to take unnecessary risk that could threaten the Company. </w:t></w:r></w:p><w:p><w:pPr><w:jc w:val="start"/></w:pPr><w:r><w:rPr><w:rFonts w:ascii="&quot;Times New Roman&quot;" w:hAnsi="&quot;Times New Roman&quot;" w:eastAsia="&quot;Times New Roman&quot;" w:cs="&quot;Times New Roman&quot;"/><w:sz w:val="20"/><w:szCs w:val="20"/><w:b w:val="1"/><w:bCs w:val="1"/><w:spacing w:val="0"/></w:rPr><w:t xml:space="preserve">Nominating Committee </w:t></w:r></w:p><w:p><w:pPr><w:jc w:val="start"/></w:pPr><w:r><w:rPr><w:rFonts w:ascii="&quot;Times New Roman&quot;" w:hAnsi="&quot;Times New Roman&quot;" w:eastAsia="&quot;Times New Roman&quot;" w:cs="&quot;Times New Roman&quot;"/><w:sz w:val="20"/><w:szCs w:val="20"/><w:spacing w:val="0"/></w:rPr><w:t xml:space="preserve">The Company has a standing nominating committee consisting of Mr. Giacomin, its chairperson, Dr. Driscoll and Mr. Leibowitz. During 2021 and until February 15, 2022, the nominating committee consisted of Mr. Giacomin, its chairperson, and Mr. Leibowitz. The board of directors has determined that each director of the nominating committee is independent under applicable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Nasdaq listing rules. The nominating committee is responsible for, among other matters: (i) identifying, reviewing, evaluating and communicating with candidates qualified to become board members or nominees for directors of the board consistent with criteria approved by the board; (ii) recommending to the board the persons to be nominated for election as directors at any meeting of stockholders and the persons (if any) to be elected by the board to fill any vacancies or newly created directorships that may occur between such meetings; (iii) overseeing the Company’s corporate governance functions and developing, recommending to the board and updating as necessary a set of corporate governance guidelines applicable to the Company and assisting the board in complying with them; (iv) overseeing the evaluation of the board; (v) recommending to the board the members of the board to serve on committees of the board; and (vi) making other recommendations to the board relating to the directors of the Company. </w:t></w:r></w:p><w:p><w:pPr><w:jc w:val="start"/></w:pPr><w:r><w:rPr><w:rFonts w:ascii="&quot;Times New Roman&quot;" w:hAnsi="&quot;Times New Roman&quot;" w:eastAsia="&quot;Times New Roman&quot;" w:cs="&quot;Times New Roman&quot;"/><w:sz w:val="20"/><w:szCs w:val="20"/><w:b w:val="1"/><w:bCs w:val="1"/><w:spacing w:val="0"/></w:rPr><w:t xml:space="preserve">Director Nominations </w:t></w:r></w:p><w:p><w:pPr><w:jc w:val="start"/></w:pPr><w:r><w:rPr><w:rFonts w:ascii="Times New Roman" w:hAnsi="Times New Roman" w:eastAsia="Times New Roman" w:cs="Times New Roman"/><w:sz w:val="20"/><w:szCs w:val="20"/></w:rPr><w:t xml:space="preserve">Since we are no longer a controlled company and are now required under the Nasdaq listing rules to maintain a nominating committee comprised entirely of independent directors, the board of directors voted to establish a nominating committee consisting of Mr. Giacomin, its chairperson, and Mr. Leibowitz, on August 3, 2021. Dr. Driscoll was appointed to the nominating committee on February 15, 2022. Each year, the nominating committee recommends to our board of directors and our board of directors proposes to our stockholders a slate of director nominees for election at the annual meeting of stockholders. In identifying and evaluating candidates for membership on the board of directors, the nominating committee may take into account all factors it considers appropriate, which may include experience, qualifications, attributes, skills, diversity and other characteristics in the context of the current </w:t></w:r></w:p><w:p><w:pPr><w:jc w:val="start"/></w:pPr><w:r><w:rPr><w:rFonts w:ascii="Times New Roman" w:hAnsi="Times New Roman" w:eastAsia="Times New Roman" w:cs="Times New Roman"/><w:sz w:val="20"/><w:szCs w:val="20"/><w:spacing w:val="0"/></w:rPr><w:t xml:space="preserve">make-up</w:t></w:r></w:p><w:p><w:pPr><w:jc w:val="start"/></w:pPr><w:r><w:rPr><w:rFonts w:ascii="Times New Roman" w:hAnsi="Times New Roman" w:eastAsia="Times New Roman" w:cs="Times New Roman"/><w:sz w:val="20"/><w:szCs w:val="20"/></w:rPr><w:t xml:space="preserve"> of the board of directors and the needs of the board of directors given the circumstances of the Company. In proposing nominees for our board of directors, the nominating committee takes into account the designation rights of the Significant Stockholder Group (as defined below) as set forth in the Controlling Stockholders Agreement dated as of December 10, 2018. Stockholders may also recommend candidates for election to the board of directors, as described below. We do not have a formal diversity policy for directors. The nominating committee identifies director candidates based on input provided by a number of sources, including from members of the board of directors, stockholders and members of management. </w:t></w:r></w:p><w:p><w:pPr><w:jc w:val="start"/></w:pPr><w:r><w:rPr><w:rFonts w:ascii="&quot;Times New Roman&quot;" w:hAnsi="&quot;Times New Roman&quot;" w:eastAsia="&quot;Times New Roman&quot;" w:cs="&quot;Times New Roman&quot;"/><w:sz w:val="20"/><w:szCs w:val="20"/><w:spacing w:val="0"/></w:rPr><w:t xml:space="preserve">The board of directors and nominating committee value the input of stockholders in identifying director candidates. Accordingly, the nominating committee considers recommendations for director candidates submitted by stockholders using substantially the same criteria it applies to recommendations from directors and members of management. Any such nominations should be submitted to the board of directors by mail in care of the Company’s Corporate Secretary at 85 Dan Road, Canton, Massachusetts 02021 and be accompanied by the information required by the bylaws. The written recommendation should be submitted within the time frame described in the bylaws. </w:t></w:r></w:p><w:p><w:pPr><w:jc w:val="start"/></w:pPr><w:r><w:rPr><w:rFonts w:ascii="&quot;Times New Roman&quot;" w:hAnsi="&quot;Times New Roman&quot;" w:eastAsia="&quot;Times New Roman&quot;" w:cs="&quot;Times New Roman&quot;"/><w:sz w:val="20"/><w:szCs w:val="20"/><w:spacing w:val="0"/></w:rPr><w:t xml:space="preserve">During fiscal year 2020, the Company was a “controlled company” under the Nasdaq Stock Market (“Nasdaq”) listing rule 5615(c) because Alan A. Ades, Albert Erani and Glenn H. Nussdorf, current and former members of our board of directors, together with Dennis Erani, Starr Wisdom and certain of their respective affiliates controlled over 50% of the voting power for the election of the Company’s directors. We refer to this group as the Significant Stockholder Group. As a controlled company, the Company was not required to have and did not have (i) a majority of independent directors on its board of directors, (ii) a nominating/corporate governance committee composed entirely of independent directors or (iii) a compensation committee composed entirely of independent directors. Accordingly, during fiscal year 2021, only the members of our Audit Committee (formerly composed of Mr. Leibowitz, Mr. Mackie and Mr. Tamaroff, and currently composed of Mr. Leibowitz, Dr. Driscoll and Ms. Duraibabu, all independent directors), had been determined by our board of directors to be “independent directors” as defined under Rule 5605(a)(2) of the Nasdaq Listing Rules. </w:t></w:r></w:p><w:p><w:pPr><w:jc w:val="start"/></w:pPr><w:r><w:rPr><w:rFonts w:ascii="&quot;Times New Roman&quot;" w:hAnsi="&quot;Times New Roman&quot;" w:eastAsia="&quot;Times New Roman&quot;" w:cs="&quot;Times New Roman&quot;"/><w:sz w:val="20"/><w:szCs w:val="20"/><w:spacing w:val="0"/></w:rPr><w:t xml:space="preserve">On May 6, 2021, the Company ceased to qualify as a “controlled company” because the Significant Stockholder Group no longer controlled over 50% of the voting power for the election of the Company’s directors. Following the loss of controlled company status, the Nasdaq listing rules require that the Company comply with the independence requirements, as they relate to the nominating committee and compensation committee, on the following phase-in schedule: (1) one independent committee member at the time the Company ceased to be a controlled company, (2) a majority of independent committee members within 90 days of the date the Company ceased to be a controlled company and (3) all independent committee members within one year of the date the Company ceased to be a controlled company. Additionally, the Nasdaq rules provide a 12-month phase-in period from the date the Company ceased to be a controlled company to comply with the majority independent board requirement. On May 7, 2021, the board of directors voted that, consistent with Nasdaq rules, director nominees must either be selected, or recommended for the Board’s selection, by independent directors constituting a majority of the Board’s independent directors in a vote in which only independent directors participate. On August 3, 2021, the board of directors voted to establish a Nominating Committee of the board of directors, consisting of independent directors only. One member of the Company’s compensation committee was independent on May 6, 2021, a majority of the members of our compensation committee were independent by July 16, 2021 and all of the members of the compensation committee were independent by February 15, 2022. The Company must comply with the requirement to have a majority of independent directors on its board of directors by May 6, 2022. </w:t></w:r></w:p><w:p><w:pPr><w:jc w:val="start"/></w:pPr><w:r><w:rPr><w:rFonts w:ascii="&quot;Times New Roman&quot;" w:hAnsi="&quot;Times New Roman&quot;" w:eastAsia="&quot;Times New Roman&quot;" w:cs="&quot;Times New Roman&quot;"/><w:sz w:val="20"/><w:szCs w:val="20"/><w:spacing w:val="0"/></w:rPr><w:t xml:space="preserve">The Significant Stockholder Group and the Company are party to a Controlling Stockholders Agreement dated December 10, 2018. Under the Agreement and subject to certain conditions set forth in the Agreement, Alan Ades has the right to designate two members of our board of directors and Albert Erani and Glenn Nussdorf each has the right to designate one member of our board of directors. The members of the Significant Stockholder Group have agreed to vote for the election to our board of directors of each person so designated. Mr. Ades’ two designees to our board of directors are himself and Robert Ades. Albert Erani’s designee to our board of directors is David Erani. Glenn Nussdorf’s designee to our board of directors is himself. </w:t></w:r></w:p><w:p><w:pPr><w:jc w:val="start"/></w:pPr><w:r><w:rPr><w:sz w:val="36"/><w:szCs w:val="36"/><w:spacing w:val="0"/></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quot;Times New Roman&quot;" w:hAnsi="&quot;Times New Roman&quot;" w:eastAsia="&quot;Times New Roman&quot;" w:cs="&quot;Times New Roman&quot;"/><w:sz w:val="20"/><w:szCs w:val="20"/><w:b w:val="1"/><w:bCs w:val="1"/><w:spacing w:val="0"/></w:rPr><w:t xml:space="preserve">ITEM 11.</w:t></w:r></w:p></w:tc><w:tc><w:tcPr><w:tcW w:w="5000" w:type="pct"/><w:vAlign w:val="top"/><w:noWrap/></w:tcPr><w:p><w:pPr><w:jc w:val="start"/></w:pPr><w:r><w:rPr><w:rFonts w:ascii="&quot;Times New Roman&quot;" w:hAnsi="&quot;Times New Roman&quot;" w:eastAsia="&quot;Times New Roman&quot;" w:cs="&quot;Times New Roman&quot;"/><w:sz w:val="20"/><w:szCs w:val="20"/><w:b w:val="1"/><w:bCs w:val="1"/><w:spacing w:val="0"/></w:rPr><w:t xml:space="preserve">EXECUTIVE COMPENSATION </w:t></w:r></w:p></w:tc></w:tr></w:tbl><w:p><w:pPr><w:jc w:val="start"/></w:pPr><w:r><w:rPr><w:rFonts w:ascii="&quot;Times New Roman&quot;" w:hAnsi="&quot;Times New Roman&quot;" w:eastAsia="&quot;Times New Roman&quot;" w:cs="&quot;Times New Roman&quot;"/><w:sz w:val="20"/><w:szCs w:val="20"/><w:b w:val="1"/><w:bCs w:val="1"/><w:spacing w:val="0"/></w:rPr><w:t xml:space="preserve">Executive Summary </w:t></w:r></w:p><w:p><w:pPr><w:jc w:val="start"/></w:pPr><w:r><w:rPr><w:rFonts w:ascii="&quot;Times New Roman&quot;" w:hAnsi="&quot;Times New Roman&quot;" w:eastAsia="&quot;Times New Roman&quot;" w:cs="&quot;Times New Roman&quot;"/><w:sz w:val="20"/><w:szCs w:val="20"/><w:spacing w:val="0"/></w:rPr><w:t xml:space="preserve">The compensation of our executive officers is determined by our board of directors based upon the recommendation of our compensation committee. Our formal annual compensation review process generally takes place during the first half of each fiscal year, after the results of the previous fiscal year are known. Annual discretionary cash bonuses for the completed fiscal year, if any, and long-term equity-based incentive compensation awards, if any, are awarded by the board of directors on a discretionary basis based upon the recommendation of the compensation committee, generally during the first half of each fiscal year, after a review of the previous fiscal year’s results. </w:t></w:r></w:p><w:p><w:pPr><w:jc w:val="start"/></w:pPr><w:r><w:rPr><w:rFonts w:ascii="&quot;Times New Roman&quot;" w:hAnsi="&quot;Times New Roman&quot;" w:eastAsia="&quot;Times New Roman&quot;" w:cs="&quot;Times New Roman&quot;"/><w:sz w:val="20"/><w:szCs w:val="20"/><w:spacing w:val="0"/></w:rPr><w:t xml:space="preserve">In making their recommendations and determinations, our compensation committee and our board of directors take into account publicly available information concerning the compensation practices of other, similarly situated companies in the biotechnology, medical technology and biopharmaceutical industries. This information is used by the compensation committee and the board of directors informally and primarily for purposes of comparison to ascertain whether our compensation practices for our executive officers are broadly competitive. Our Chief Executive Officer makes recommendations with regard to the compensation of our executive officers, which are reviewed by the compensation committee and the board of directors. Executive officers (including Mr. Gillheeney) do not participate in the compensation committee’s recommendation regarding and the board’s determination of their own annual compensation.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In connection with its recommendations to the board of directors, the compensation committee periodically retains an independent compensation consultant to assess the competitiveness of the Company’s compensation levels and practice applicable to the Company’s executive officers. Nonetheless, the determinations made by the members of our compensation committee and board of directors are guided to a significant degree by their collective judgment and experience. During fiscal year 2021, the compensation committee engaged Pearl Meyer & Partners, LLC as an independent compensation consultant to advise on executive officer and board compensation. </w:t></w:r></w:p><w:p><w:pPr><w:jc w:val="start"/></w:pPr><w:r><w:rPr><w:rFonts w:ascii="&quot;Times New Roman&quot;" w:hAnsi="&quot;Times New Roman&quot;" w:eastAsia="&quot;Times New Roman&quot;" w:cs="&quot;Times New Roman&quot;"/><w:sz w:val="20"/><w:szCs w:val="20"/><w:spacing w:val="0"/></w:rPr><w:t xml:space="preserve">Our compensation committee and board of directors has reviewed our compensation programs and believes that our compensation programs have not encouraged or rewarded excessive or inappropriate risk taking. </w:t></w:r></w:p><w:p><w:pPr><w:jc w:val="start"/></w:pPr><w:r><w:rPr><w:rFonts w:ascii="&quot;Times New Roman&quot;" w:hAnsi="&quot;Times New Roman&quot;" w:eastAsia="&quot;Times New Roman&quot;" w:cs="&quot;Times New Roman&quot;"/><w:sz w:val="20"/><w:szCs w:val="20"/><w:b w:val="1"/><w:bCs w:val="1"/><w:spacing w:val="0"/></w:rPr><w:t xml:space="preserve">Summary Compensation Table for Fiscal Year 2021 </w:t></w:r></w:p><w:p><w:pPr><w:jc w:val="start"/></w:pPr><w:r><w:rPr><w:rFonts w:ascii="&quot;Times New Roman&quot;" w:hAnsi="&quot;Times New Roman&quot;" w:eastAsia="&quot;Times New Roman&quot;" w:cs="&quot;Times New Roman&quot;"/><w:sz w:val="20"/><w:szCs w:val="20"/><w:spacing w:val="0"/></w:rPr><w:t xml:space="preserve">The following table sets forth information regarding compensation earned by our President and Chief Executive Officer and our two next most highly paid executive officers who served during fiscal year 2021. We refer to these individuals as our named executive officers, or NEOs. </w:t></w:r></w:p><w:p><w:pPr><w:jc w:val="start"/></w:pPr><w:r><w:rPr><w:sz w:val="24"/><w:szCs w:val="24"/><w:spacing w:val="0"/></w:rPr><w:t xml:space="preserve"> </w:t></w:r></w:p><w:tbl><w:tblGrid><w:gridCol w:w="225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tblGrid><w:tblPr><w:tblW w:w="5000" w:type="pct"/><w:tblCellSpacing w:w="0" w:type="dxa"/><w:tblLayout w:type="autofit"/></w:tblPr><w:tr><w:trPr/><w:tc><w:tcPr><w:tcW w:w="225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quot;Times New Roman&quot;" w:hAnsi="&quot;Times New Roman&quot;" w:eastAsia="&quot;Times New Roman&quot;" w:cs="&quot;Times New Roman&quot;"/><w:sz w:val="16"/><w:szCs w:val="16"/><w:b w:val="1"/><w:bCs w:val="1"/><w:spacing w:val="0"/></w:rPr><w:t xml:space="preserve">Name and Principal Position</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Year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Salary</w:t></w:r><w:br/><w:r><w:rPr><w:rFonts w:ascii="Times New Roman" w:hAnsi="Times New Roman" w:eastAsia="Times New Roman" w:cs="Times New Roman"/><w:sz w:val="16"/><w:szCs w:val="16"/><w:b w:val="1"/><w:bCs w:val="1"/><w:spacing w:val="0"/></w:rPr><w:t xml:space="preserv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Option</w:t></w:r><w:br/><w:r><w:rPr><w:rFonts w:ascii="Times New Roman" w:hAnsi="Times New Roman" w:eastAsia="Times New Roman" w:cs="Times New Roman"/><w:sz w:val="16"/><w:szCs w:val="16"/><w:b w:val="1"/><w:bCs w:val="1"/><w:spacing w:val="0"/></w:rPr><w:t xml:space="preserve">Awards</w:t></w:r><w:br/><w:r><w:rPr><w:rFonts w:ascii="Times New Roman" w:hAnsi="Times New Roman" w:eastAsia="Times New Roman" w:cs="Times New Roman"/><w:sz w:val="16"/><w:szCs w:val="16"/><w:b w:val="1"/><w:bCs w:val="1"/><w:spacing w:val="0"/></w:rPr><w:t xml:space="preserve">($)(1)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Stock</w:t></w:r><w:br/><w:r><w:rPr><w:rFonts w:ascii="Times New Roman" w:hAnsi="Times New Roman" w:eastAsia="Times New Roman" w:cs="Times New Roman"/><w:sz w:val="16"/><w:szCs w:val="16"/><w:b w:val="1"/><w:bCs w:val="1"/><w:spacing w:val="0"/></w:rPr><w:t xml:space="preserve">Awards</w:t></w:r><w:br/><w:r><w:rPr><w:rFonts w:ascii="Times New Roman" w:hAnsi="Times New Roman" w:eastAsia="Times New Roman" w:cs="Times New Roman"/><w:sz w:val="16"/><w:szCs w:val="16"/><w:b w:val="1"/><w:bCs w:val="1"/><w:spacing w:val="0"/></w:rPr><w:t xml:space="preserve">($)(2)</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Bonus ($)(3)</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All Other</w:t></w:r><w:br/><w:r><w:rPr><w:rFonts w:ascii="Times New Roman" w:hAnsi="Times New Roman" w:eastAsia="Times New Roman" w:cs="Times New Roman"/><w:sz w:val="16"/><w:szCs w:val="16"/><w:b w:val="1"/><w:bCs w:val="1"/><w:spacing w:val="0"/></w:rPr><w:t xml:space="preserve">Compensation ($)(5)</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Total ($)</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834,637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2,113,992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706,244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699,200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76,684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4,430,757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i w:val="1"/><w:iCs w:val="1"/><w:spacing w:val="0"/><w:shd w:val="clear" w:fill="CCEEFF"/></w:rPr><w:t xml:space="preserve">President and Chief Executive Officer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823,174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603,344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296,288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750,000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68,403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2,541,209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Patrick Bilbo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433,972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442,378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147,498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262,200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45,288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1,331,336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r><w:rPr><w:rFonts w:ascii="&quot;Times New Roman&quot;" w:hAnsi="&quot;Times New Roman&quot;" w:eastAsia="&quot;Times New Roman&quot;" w:cs="&quot;Times New Roman&quot;"/><w:sz w:val="20"/><w:szCs w:val="20"/><w:i w:val="1"/><w:iCs w:val="1"/><w:spacing w:val="0"/></w:rPr><w:t xml:space="preserve">Chief Operating Officer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2020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397,256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232,926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114,358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295,000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37,783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1,077,323</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David Francisco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331,731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658,558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218,746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213,875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7,585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1,430,495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i w:val="1"/><w:iCs w:val="1"/><w:spacing w:val="0"/><w:shd w:val="clear" w:fill="CCEEFF"/></w:rPr><w:t xml:space="preserve">Chief Financial Officer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bl><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rPr><w:t xml:space="preserve">Represents the grant date fair value of option awards granted in fiscal year 2020 and 2021 calculated in accordance with Accounting Standards Codification Topic 718, “Compensation—Stock Compensation” (“ASC 718”). See Note 14 of the notes to our financial statements included in our Annual Report on Form </w:t></w:r><w:r><w:rPr><w:rFonts w:ascii="&quot;Times New Roman&quot;" w:hAnsi="&quot;Times New Roman&quot;" w:eastAsia="&quot;Times New Roman&quot;" w:cs="&quot;Times New Roman&quot;"/><w:sz w:val="20"/><w:szCs w:val="20"/><w:spacing w:val="0"/></w:rPr><w:t xml:space="preserve">10-K</w:t></w:r><w:r><w:rPr><w:rFonts w:ascii="&quot;Times New Roman&quot;" w:hAnsi="&quot;Times New Roman&quot;" w:eastAsia="&quot;Times New Roman&quot;" w:cs="&quot;Times New Roman&quot;"/><w:sz w:val="20"/><w:szCs w:val="20"/></w:rPr><w:t xml:space="preserve"> for the year ended December 31, 2021 for a discussion of the relevant assumptions used in calculating these amounts.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rPr><w:t xml:space="preserve">Represents the fair value of restricted stock unit awards granted in fiscal year 2020 and 2021 calculated in accordance with ASC 718. See Note 14 of the notes to our financial statements included in our Annual Report on Form </w:t></w:r><w:r><w:rPr><w:rFonts w:ascii="&quot;Times New Roman&quot;" w:hAnsi="&quot;Times New Roman&quot;" w:eastAsia="&quot;Times New Roman&quot;" w:cs="&quot;Times New Roman&quot;"/><w:sz w:val="20"/><w:szCs w:val="20"/><w:spacing w:val="0"/></w:rPr><w:t xml:space="preserve">10-K</w:t></w:r><w:r><w:rPr><w:rFonts w:ascii="&quot;Times New Roman&quot;" w:hAnsi="&quot;Times New Roman&quot;" w:eastAsia="&quot;Times New Roman&quot;" w:cs="&quot;Times New Roman&quot;"/><w:sz w:val="20"/><w:szCs w:val="20"/></w:rPr><w:t xml:space="preserve"> for the year ended December 31, 2021 for a discussion of the relevant assumptions used in calculating these amounts.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The amounts reported in this column for fiscal 2020 and 2021 represent the discretionary bonuses earned by our NEOs.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(4)</w:t></w:r></w:p></w:tc><w:tc><w:tcPr><w:tcW w:w="5000" w:type="pct"/><w:vAlign w:val="top"/><w:noWrap/></w:tcPr><w:p><w:pPr><w:jc w:val="start"/></w:pPr><w:r><w:rPr><w:rFonts w:ascii="&quot;Times New Roman&quot;" w:hAnsi="&quot;Times New Roman&quot;" w:eastAsia="&quot;Times New Roman&quot;" w:cs="&quot;Times New Roman&quot;"/><w:sz w:val="20"/><w:szCs w:val="20"/></w:rPr><w:t xml:space="preserve">“All Other Compensation” for fiscal 2021 includes: (i) for Mr. Gillheeney, (a) $37,086 representing the costs related to a leased automobile, (b) a </w:t></w:r><w:r><w:rPr><w:rFonts w:ascii="&quot;Times New Roman&quot;" w:hAnsi="&quot;Times New Roman&quot;" w:eastAsia="&quot;Times New Roman&quot;" w:cs="&quot;Times New Roman&quot;"/><w:sz w:val="20"/><w:szCs w:val="20"/><w:spacing w:val="0"/></w:rPr><w:t xml:space="preserve">tax gross-up on</w:t></w:r><w:r><w:rPr><w:rFonts w:ascii="&quot;Times New Roman&quot;" w:hAnsi="&quot;Times New Roman&quot;" w:eastAsia="&quot;Times New Roman&quot;" w:cs="&quot;Times New Roman&quot;"/><w:sz w:val="20"/><w:szCs w:val="20"/></w:rPr><w:t xml:space="preserve"> the amount specified in (a) above of $15,407, (c) $12,191 representing the cost of group term life insurance, (d) $1,650 representing the cost of long-term disability insurance premiums, (e) a </w:t></w:r><w:r><w:rPr><w:rFonts w:ascii="&quot;Times New Roman&quot;" w:hAnsi="&quot;Times New Roman&quot;" w:eastAsia="&quot;Times New Roman&quot;" w:cs="&quot;Times New Roman&quot;"/><w:sz w:val="20"/><w:szCs w:val="20"/><w:spacing w:val="0"/></w:rPr><w:t xml:space="preserve">tax gross-up on</w:t></w:r><w:r><w:rPr><w:rFonts w:ascii="&quot;Times New Roman&quot;" w:hAnsi="&quot;Times New Roman&quot;" w:eastAsia="&quot;Times New Roman&quot;" w:cs="&quot;Times New Roman&quot;"/><w:sz w:val="20"/><w:szCs w:val="20"/></w:rPr><w:t xml:space="preserve"> the amount specified in (d) above of $1,650 and (f) $8,700 representing employer matching contributions under our 401(k) plan; </w:t></w:r></w:p></w:tc></w:tr></w:tbl><w:p><w:pPr><w:jc w:val="start"/></w:pPr><w:r><w:rPr><w:rFonts w:ascii="Times New Roman" w:hAnsi="Times New Roman" w:eastAsia="Times New Roman" w:cs="Times New Roman"/><w:sz w:val="20"/><w:szCs w:val="20"/></w:rPr><w:t xml:space="preserve">(ii) for Mr. Bilbo, (a) $18,044 representing the costs related to a leased automobile, (b)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(a) above of $7,496, (c) $6,245 representing the cost of group term life insurance, (d) $1,391 representing the cost of long-term disability insurance premiums, (e)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(d) above of $1,391 and (f) $8,700 representing employer matching contributions under our 401(k) plan; and </w:t></w:r></w:p><w:p><w:pPr><w:jc w:val="start"/></w:pPr><w:r><w:rPr><w:rFonts w:ascii="Times New Roman" w:hAnsi="Times New Roman" w:eastAsia="Times New Roman" w:cs="Times New Roman"/><w:sz w:val="20"/><w:szCs w:val="20"/></w:rPr><w:t xml:space="preserve">(iii) for Mr. Francisco, (a) $3,200 representing the cost of group term life insurance, (b) $1,284 representing the cost of long-term disability insurance premiums, (c)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(b) above of $1,284 and (f) $2,195 representing employer matching contributions under our 401(k) plan. </w:t></w:r></w:p><w:p><w:pPr><w:jc w:val="start"/></w:pPr><w:r><w:rPr><w:rFonts w:ascii="&quot;Times New Roman&quot;" w:hAnsi="&quot;Times New Roman&quot;" w:eastAsia="&quot;Times New Roman&quot;" w:cs="&quot;Times New Roman&quot;"/><w:sz w:val="20"/><w:szCs w:val="20"/><w:spacing w:val="0"/></w:rPr><w:t xml:space="preserve">“All Other Compensation” for fiscal 2020 includes: </w:t></w:r></w:p><w:p><w:pPr><w:jc w:val="start"/></w:pPr><w:r><w:rPr><w:rFonts w:ascii="Times New Roman" w:hAnsi="Times New Roman" w:eastAsia="Times New Roman" w:cs="Times New Roman"/><w:sz w:val="20"/><w:szCs w:val="20"/></w:rPr><w:t xml:space="preserve">(i) for Mr. Gillheeney, (a) $36,096 representing the costs related to a leased automobile, (b)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(a) above of $14,995, (c) $12,661 representing the cost of group term life insurance, (d) $1,087 representing the cost of long-term disability insurance premiums, (e)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(d) above of $768 and (f) $2,796 representing employer matching contributions under our 401(k) plan; and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(ii) for Mr. Bilbo, (a) $16,905 representing the costs related to a leased automobile, (b)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(a) above of $7,023, (c) $3,480 representing the cost of group term life insurance, (d) $1,289 representing the cost of long-term disability insurance premiums, (e) a </w:t></w:r></w:p><w:p><w:pPr><w:jc w:val="start"/></w:pPr><w:r><w:rPr><w:rFonts w:ascii="Times New Roman" w:hAnsi="Times New Roman" w:eastAsia="Times New Roman" w:cs="Times New Roman"/><w:sz w:val="20"/><w:szCs w:val="20"/><w:spacing w:val="0"/></w:rPr><w:t xml:space="preserve">tax gross-up on</w:t></w:r></w:p><w:p><w:pPr><w:jc w:val="start"/></w:pPr><w:r><w:rPr><w:rFonts w:ascii="Times New Roman" w:hAnsi="Times New Roman" w:eastAsia="Times New Roman" w:cs="Times New Roman"/><w:sz w:val="20"/><w:szCs w:val="20"/></w:rPr><w:t xml:space="preserve"> the amount specified in (d) above of $536 and (f) $8,550 representing employer matching contributions under our 401(k) plan. </w:t></w:r></w:p><w:p><w:pPr><w:jc w:val="start"/></w:pPr><w:r><w:rPr><w:rFonts w:ascii="&quot;Times New Roman&quot;" w:hAnsi="&quot;Times New Roman&quot;" w:eastAsia="&quot;Times New Roman&quot;" w:cs="&quot;Times New Roman&quot;"/><w:sz w:val="20"/><w:szCs w:val="20"/><w:b w:val="1"/><w:bCs w:val="1"/><w:spacing w:val="0"/></w:rPr><w:t xml:space="preserve">Narrative Disclosure to Summary Compensation Table </w:t></w:r></w:p><w:p><w:pPr><w:jc w:val="start"/></w:pPr><w:r><w:rPr><w:rFonts w:ascii="&quot;Times New Roman&quot;" w:hAnsi="&quot;Times New Roman&quot;" w:eastAsia="&quot;Times New Roman&quot;" w:cs="&quot;Times New Roman&quot;"/><w:sz w:val="20"/><w:szCs w:val="20"/><w:b w:val="1"/><w:bCs w:val="1"/><w:i w:val="1"/><w:iCs w:val="1"/><w:spacing w:val="0"/></w:rPr><w:t xml:space="preserve">Employment Agreements, Severance and Change in Control Arrangements </w:t></w:r></w:p><w:p><w:pPr><w:jc w:val="start"/></w:pPr><w:r><w:rPr><w:rFonts w:ascii="Times New Roman" w:hAnsi="Times New Roman" w:eastAsia="Times New Roman" w:cs="Times New Roman"/><w:sz w:val="20"/><w:szCs w:val="20"/></w:rPr><w:t xml:space="preserve">We have entered into employment agreements or employment letter agreements with our named executive officers. The agreements generally provide for </w:t></w:r></w:p><w:p><w:pPr><w:jc w:val="start"/></w:pPr><w:r><w:rPr><w:rFonts w:ascii="Times New Roman" w:hAnsi="Times New Roman" w:eastAsia="Times New Roman" w:cs="Times New Roman"/><w:sz w:val="20"/><w:szCs w:val="20"/><w:spacing w:val="0"/></w:rPr><w:t xml:space="preserve">at-will</w:t></w:r></w:p><w:p><w:pPr><w:jc w:val="start"/></w:pPr><w:r><w:rPr><w:rFonts w:ascii="Times New Roman" w:hAnsi="Times New Roman" w:eastAsia="Times New Roman" w:cs="Times New Roman"/><w:sz w:val="20"/><w:szCs w:val="20"/></w:rPr><w:t xml:space="preserve"> employment and set forth the NEO’s initial base salary, and eligibility for employee benefits. In addition, each of our NEOs is subject to confidentiality obligations and has agreed to assign to us any inventions developed during the term of their employment. </w:t></w:r></w:p><w:p><w:pPr><w:jc w:val="start"/></w:pPr><w:r><w:rPr><w:rFonts w:ascii="Times New Roman" w:hAnsi="Times New Roman" w:eastAsia="Times New Roman" w:cs="Times New Roman"/><w:sz w:val="20"/><w:szCs w:val="20"/><w:i w:val="1"/><w:iCs w:val="1"/><w:spacing w:val="0"/></w:rPr><w:t xml:space="preserve">Agreement with Mr. Gillheeney </w:t></w:r></w:p><w:p><w:pPr><w:jc w:val="start"/></w:pPr><w:r><w:rPr><w:rFonts w:ascii="Times New Roman" w:hAnsi="Times New Roman" w:eastAsia="Times New Roman" w:cs="Times New Roman"/><w:sz w:val="20"/><w:szCs w:val="20"/></w:rPr><w:t xml:space="preserve">We entered into an employment agreement with Mr. Gillheeney, dated February 1, 2007. The agreement provides </w:t></w:r></w:p><w:p><w:pPr><w:jc w:val="start"/></w:pPr><w:r><w:rPr><w:rFonts w:ascii="Times New Roman" w:hAnsi="Times New Roman" w:eastAsia="Times New Roman" w:cs="Times New Roman"/><w:sz w:val="20"/><w:szCs w:val="20"/><w:spacing w:val="0"/></w:rPr><w:t xml:space="preserve">for “at-will” employment</w:t></w:r></w:p><w:p><w:pPr><w:jc w:val="start"/></w:pPr><w:r><w:rPr><w:rFonts w:ascii="Times New Roman" w:hAnsi="Times New Roman" w:eastAsia="Times New Roman" w:cs="Times New Roman"/><w:sz w:val="20"/><w:szCs w:val="20"/></w:rPr><w:t xml:space="preserve"> and sets forth certain agreed upon terms and conditions of employment. As of April 1, 2022, Mr. Gillheeney’s annual base salary was increased from $825,000 to $875,000, and he is currently eligible to receive a target annual performance bonus of 100% of his base salary. In August 2018 our board of directors agreed that if Mr. Gillheeney is terminated involuntarily without cause or he resigns with good reason, these terms as defined in the employment agreement, he is entitled to the following (subject to his execution of a release in form and substance reasonably satisfactory to us): (i) his then current annual base salary payable in 12 equal monthly installments, (ii) a continuation of benefit coverage for one (1) year, and (iii) executive outplacement services with a mutually agreeable outplacement provider for up to one (1) year. </w:t></w:r></w:p><w:p><w:pPr><w:jc w:val="start"/></w:pPr><w:r><w:rPr><w:rFonts w:ascii="Times New Roman" w:hAnsi="Times New Roman" w:eastAsia="Times New Roman" w:cs="Times New Roman"/><w:sz w:val="20"/><w:szCs w:val="20"/><w:i w:val="1"/><w:iCs w:val="1"/><w:spacing w:val="0"/></w:rPr><w:t xml:space="preserve">Agreement with Mr. Bilbo </w:t></w:r></w:p><w:p><w:pPr><w:jc w:val="start"/></w:pPr><w:r><w:rPr><w:rFonts w:ascii="Times New Roman" w:hAnsi="Times New Roman" w:eastAsia="Times New Roman" w:cs="Times New Roman"/><w:sz w:val="20"/><w:szCs w:val="20"/></w:rPr><w:t xml:space="preserve">We entered into an employment letter agreement with Mr. Bilbo, dated February 14, 2017. The letter agreement provides for </w:t></w:r></w:p><w:p><w:pPr><w:jc w:val="start"/></w:pPr><w:r><w:rPr><w:rFonts w:ascii="Times New Roman" w:hAnsi="Times New Roman" w:eastAsia="Times New Roman" w:cs="Times New Roman"/><w:sz w:val="20"/><w:szCs w:val="20"/><w:spacing w:val="0"/></w:rPr><w:t xml:space="preserve">“at-will”</w:t></w:r></w:p><w:p><w:pPr><w:jc w:val="start"/></w:pPr><w:r><w:rPr><w:rFonts w:ascii="Times New Roman" w:hAnsi="Times New Roman" w:eastAsia="Times New Roman" w:cs="Times New Roman"/><w:sz w:val="20"/><w:szCs w:val="20"/></w:rPr><w:t xml:space="preserve"> employment and sets forth certain agreed upon terms and conditions of employment. As of April 1, 2022, Mr. Bilbo’s annual base salary was increased from $428,000 to $455,000 and he is currently eligible to receive a target annual performance bonus of 70% of his base salary. </w:t></w:r></w:p><w:p><w:pPr><w:jc w:val="start"/></w:pPr><w:r><w:rPr><w:rFonts w:ascii="Times New Roman" w:hAnsi="Times New Roman" w:eastAsia="Times New Roman" w:cs="Times New Roman"/><w:sz w:val="20"/><w:szCs w:val="20"/><w:i w:val="1"/><w:iCs w:val="1"/><w:spacing w:val="0"/></w:rPr><w:t xml:space="preserve">Agreement with Mr. Francisco </w:t></w:r></w:p><w:p><w:pPr><w:jc w:val="start"/></w:pPr><w:r><w:rPr><w:rFonts w:ascii="&quot;Times New Roman&quot;" w:hAnsi="&quot;Times New Roman&quot;" w:eastAsia="&quot;Times New Roman&quot;" w:cs="&quot;Times New Roman&quot;"/><w:sz w:val="20"/><w:szCs w:val="20"/><w:spacing w:val="0"/></w:rPr><w:t xml:space="preserve">We entered into an employment letter agreement with Mr. Francisco, dated January 13, 2021. The letter agreement provides for “at-will” employment and sets forth certain agreed upon terms and conditions of employment. As of April 1, 2022, Mr. Francisco’s annual base salary was increased from $375,000 to $405,000 and he is currently eligible to receive a target annual performance bonus of 60% of his base salary. </w:t></w:r></w:p><w:p><w:pPr><w:jc w:val="start"/></w:pPr><w:r><w:rPr><w:rFonts w:ascii="Times New Roman" w:hAnsi="Times New Roman" w:eastAsia="Times New Roman" w:cs="Times New Roman"/><w:sz w:val="20"/><w:szCs w:val="20"/><w:i w:val="1"/><w:iCs w:val="1"/><w:spacing w:val="0"/></w:rPr><w:t xml:space="preserve">Change in Control Arrangements </w:t></w:r></w:p><w:p><w:pPr><w:jc w:val="start"/></w:pPr><w:r><w:rPr><w:rFonts w:ascii="Times New Roman" w:hAnsi="Times New Roman" w:eastAsia="Times New Roman" w:cs="Times New Roman"/><w:sz w:val="20"/><w:szCs w:val="20"/></w:rPr><w:t xml:space="preserve">We and each of our executive officers entered into a Change in Control Retention Agreement (the “Change in Control Agreement”) effective May 10, 2021. Pursuant to the Change in Control Agreement, if the executive’s employment is terminated during the twenty-four month period following a “Change in Control” (a) by us without “Cause” or (b) by the executive upon the occurrence of an “Event of Constructive Termination” (as those terms are defined in the Change in Control Agreement), the executive will receive from us: (i) a </w:t></w:r></w:p><w:p><w:pPr><w:jc w:val="start"/></w:pPr><w:r><w:rPr><w:rFonts w:ascii="Times New Roman" w:hAnsi="Times New Roman" w:eastAsia="Times New Roman" w:cs="Times New Roman"/><w:sz w:val="20"/><w:szCs w:val="20"/><w:spacing w:val="0"/></w:rPr><w:t xml:space="preserve">lump-sum</w:t></w:r></w:p><w:p><w:pPr><w:jc w:val="start"/></w:pPr><w:r><w:rPr><w:rFonts w:ascii="Times New Roman" w:hAnsi="Times New Roman" w:eastAsia="Times New Roman" w:cs="Times New Roman"/><w:sz w:val="20"/><w:szCs w:val="20"/></w:rPr><w:t xml:space="preserve"> amount equal to one times (two times in the case of Mr. Gillheeney, our Chief Executive Officer) the executive’s base annual salary and the executive’s annual target bonus, in each case at the highest rate in effect at any time during the 12 months immediately preceding the termination of the executive’s employment with us; (ii) for up to 12 months (24 months in the case of Mr. Gillheeney) following the executive’s termination of employment, payment of the difference between the cost of COBRA continuation coverage for the executive and any dependent who received health insurance coverage prior to such termination, and any premium contribution amount applicable to the executive as of such termination; and (iii) full acceleration of the vesting of any time-based equity awards held by the executive. Our obligation to provide the foregoing benefits is subject to the executive entering into a new noncompetition agreement with us and the effectiveness of a release of claims executed by the executive in favor of us. </w:t></w:r></w:p><w:p><w:pPr><w:jc w:val="start"/></w:pPr><w:r><w:rPr><w:rFonts w:ascii="&quot;Times New Roman&quot;" w:hAnsi="&quot;Times New Roman&quot;" w:eastAsia="&quot;Times New Roman&quot;" w:cs="&quot;Times New Roman&quot;"/><w:sz w:val="20"/><w:szCs w:val="20"/><w:spacing w:val="0"/></w:rPr><w:t xml:space="preserve">We and each of our independent directors entered into a Change in Control Retention Agreement (the “Director Change in Control Agreement”). Pursuant to the Director Change in Control Agreement, if the director is serving on our board of directors immediately prior to a Change in Control, the director will receive full acceleration of the vesting of any time-based equity awards held by the director.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Outstanding Equity Awards at Year End </w:t></w:r></w:p><w:p><w:pPr><w:jc w:val="start"/></w:pPr><w:r><w:rPr><w:rFonts w:ascii="&quot;Times New Roman&quot;" w:hAnsi="&quot;Times New Roman&quot;" w:eastAsia="&quot;Times New Roman&quot;" w:cs="&quot;Times New Roman&quot;"/><w:sz w:val="20"/><w:szCs w:val="20"/><w:spacing w:val="0"/></w:rPr><w:t xml:space="preserve">The following table sets forth information regarding outstanding equity awards held by our named executive officers as of December 31, 2021. </w:t></w:r></w:p><w:p><w:pPr><w:jc w:val="start"/></w:pPr><w:r><w:rPr><w:sz w:val="24"/><w:szCs w:val="24"/><w:spacing w:val="0"/></w:rPr><w:t xml:space="preserve"> </w:t></w:r></w:p><w:tbl><w:tblGrid><w:gridCol w:w="215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tblGrid><w:tblPr><w:tblW w:w="5000" w:type="pct"/><w:tblCellSpacing w:w="0" w:type="dxa"/><w:tblLayout w:type="autofit"/></w:tblPr><w:tr><w:trPr/><w:tc><w:tcPr><w:tcW w:w="215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18"/><w:noWrap/></w:tcPr><w:p><w:pPr><w:jc w:val="center"/></w:pPr><w:r><w:rPr><w:rFonts w:ascii="Times New Roman" w:hAnsi="Times New Roman" w:eastAsia="Times New Roman" w:cs="Times New Roman"/><w:sz w:val="16"/><w:szCs w:val="16"/><w:b w:val="1"/><w:bCs w:val="1"/><w:spacing w:val="0"/></w:rPr><w:t xml:space="preserve">Option Awards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Stock Awards</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b w:val="1"/><w:bCs w:val="1"/><w:spacing w:val="0"/></w:rPr><w:t xml:space="preserve">Name</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Number of</w:t></w:r><w:br/><w:r><w:rPr><w:rFonts w:ascii="Times New Roman" w:hAnsi="Times New Roman" w:eastAsia="Times New Roman" w:cs="Times New Roman"/><w:sz w:val="16"/><w:szCs w:val="16"/><w:b w:val="1"/><w:bCs w:val="1"/><w:spacing w:val="0"/></w:rPr><w:t xml:space="preserve">Securities</w:t></w:r><w:br/><w:r><w:rPr><w:rFonts w:ascii="Times New Roman" w:hAnsi="Times New Roman" w:eastAsia="Times New Roman" w:cs="Times New Roman"/><w:sz w:val="16"/><w:szCs w:val="16"/><w:b w:val="1"/><w:bCs w:val="1"/><w:spacing w:val="0"/></w:rPr><w:t xml:space="preserve">Underlying</w:t></w:r><w:br/><w:r><w:rPr><w:rFonts w:ascii="Times New Roman" w:hAnsi="Times New Roman" w:eastAsia="Times New Roman" w:cs="Times New Roman"/><w:sz w:val="16"/><w:szCs w:val="16"/><w:b w:val="1"/><w:bCs w:val="1"/><w:spacing w:val="0"/></w:rPr><w:t xml:space="preserve">Unexercised</w:t></w:r><w:br/><w:r><w:rPr><w:rFonts w:ascii="Times New Roman" w:hAnsi="Times New Roman" w:eastAsia="Times New Roman" w:cs="Times New Roman"/><w:sz w:val="16"/><w:szCs w:val="16"/><w:b w:val="1"/><w:bCs w:val="1"/><w:spacing w:val="0"/></w:rPr><w:t xml:space="preserve">Options (#)</w:t></w:r><w:br/><w:r><w:rPr><w:rFonts w:ascii="Times New Roman" w:hAnsi="Times New Roman" w:eastAsia="Times New Roman" w:cs="Times New Roman"/><w:sz w:val="16"/><w:szCs w:val="16"/><w:b w:val="1"/><w:bCs w:val="1"/><w:spacing w:val="0"/></w:rPr><w:t xml:space="preserve">exercisable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Number of</w:t></w:r><w:br/><w:r><w:rPr><w:rFonts w:ascii="Times New Roman" w:hAnsi="Times New Roman" w:eastAsia="Times New Roman" w:cs="Times New Roman"/><w:sz w:val="16"/><w:szCs w:val="16"/><w:b w:val="1"/><w:bCs w:val="1"/><w:spacing w:val="0"/></w:rPr><w:t xml:space="preserve">Securities</w:t></w:r><w:br/><w:r><w:rPr><w:rFonts w:ascii="Times New Roman" w:hAnsi="Times New Roman" w:eastAsia="Times New Roman" w:cs="Times New Roman"/><w:sz w:val="16"/><w:szCs w:val="16"/><w:b w:val="1"/><w:bCs w:val="1"/><w:spacing w:val="0"/></w:rPr><w:t xml:space="preserve">Underlying</w:t></w:r><w:br/><w:r><w:rPr><w:rFonts w:ascii="Times New Roman" w:hAnsi="Times New Roman" w:eastAsia="Times New Roman" w:cs="Times New Roman"/><w:sz w:val="16"/><w:szCs w:val="16"/><w:b w:val="1"/><w:bCs w:val="1"/><w:spacing w:val="0"/></w:rPr><w:t xml:space="preserve">Unexercised</w:t></w:r><w:br/><w:r><w:rPr><w:rFonts w:ascii="Times New Roman" w:hAnsi="Times New Roman" w:eastAsia="Times New Roman" w:cs="Times New Roman"/><w:sz w:val="16"/><w:szCs w:val="16"/><w:b w:val="1"/><w:bCs w:val="1"/><w:spacing w:val="0"/></w:rPr><w:t xml:space="preserve">Options (#)</w:t></w:r><w:br/><w:r><w:rPr><w:rFonts w:ascii="Times New Roman" w:hAnsi="Times New Roman" w:eastAsia="Times New Roman" w:cs="Times New Roman"/><w:sz w:val="16"/><w:szCs w:val="16"/><w:b w:val="1"/><w:bCs w:val="1"/><w:spacing w:val="0"/></w:rPr><w:t xml:space="preserve">unexercisable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Option</w:t></w:r><w:br/><w:r><w:rPr><w:rFonts w:ascii="Times New Roman" w:hAnsi="Times New Roman" w:eastAsia="Times New Roman" w:cs="Times New Roman"/><w:sz w:val="16"/><w:szCs w:val="16"/><w:b w:val="1"/><w:bCs w:val="1"/><w:spacing w:val="0"/></w:rPr><w:t xml:space="preserve">Exercise</w:t></w:r><w:br/><w:r><w:rPr><w:rFonts w:ascii="Times New Roman" w:hAnsi="Times New Roman" w:eastAsia="Times New Roman" w:cs="Times New Roman"/><w:sz w:val="16"/><w:szCs w:val="16"/><w:b w:val="1"/><w:bCs w:val="1"/><w:spacing w:val="0"/></w:rPr><w:t xml:space="preserve">Price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Option</w:t></w:r><w:br/><w:r><w:rPr><w:rFonts w:ascii="Times New Roman" w:hAnsi="Times New Roman" w:eastAsia="Times New Roman" w:cs="Times New Roman"/><w:sz w:val="16"/><w:szCs w:val="16"/><w:b w:val="1"/><w:bCs w:val="1"/><w:spacing w:val="0"/></w:rPr><w:t xml:space="preserve">Expiration</w:t></w:r><w:br/><w:r><w:rPr><w:rFonts w:ascii="Times New Roman" w:hAnsi="Times New Roman" w:eastAsia="Times New Roman" w:cs="Times New Roman"/><w:sz w:val="16"/><w:szCs w:val="16"/><w:b w:val="1"/><w:bCs w:val="1"/><w:spacing w:val="0"/></w:rPr><w:t xml:space="preserve">Date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Option</w:t></w:r><w:br/><w:r><w:rPr><w:rFonts w:ascii="Times New Roman" w:hAnsi="Times New Roman" w:eastAsia="Times New Roman" w:cs="Times New Roman"/><w:sz w:val="16"/><w:szCs w:val="16"/><w:b w:val="1"/><w:bCs w:val="1"/><w:spacing w:val="0"/></w:rPr><w:t xml:space="preserve">Grant Date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Number of</w:t></w:r><w:br/><w:r><w:rPr><w:rFonts w:ascii="Times New Roman" w:hAnsi="Times New Roman" w:eastAsia="Times New Roman" w:cs="Times New Roman"/><w:sz w:val="16"/><w:szCs w:val="16"/><w:b w:val="1"/><w:bCs w:val="1"/><w:spacing w:val="0"/></w:rPr><w:t xml:space="preserve">Shares or</w:t></w:r><w:br/><w:r><w:rPr><w:rFonts w:ascii="Times New Roman" w:hAnsi="Times New Roman" w:eastAsia="Times New Roman" w:cs="Times New Roman"/><w:sz w:val="16"/><w:szCs w:val="16"/><w:b w:val="1"/><w:bCs w:val="1"/><w:spacing w:val="0"/></w:rPr><w:t xml:space="preserve">Units of</w:t></w:r><w:br/><w:r><w:rPr><w:rFonts w:ascii="Times New Roman" w:hAnsi="Times New Roman" w:eastAsia="Times New Roman" w:cs="Times New Roman"/><w:sz w:val="16"/><w:szCs w:val="16"/><w:b w:val="1"/><w:bCs w:val="1"/><w:spacing w:val="0"/></w:rPr><w:t xml:space="preserve">Stock That</w:t></w:r><w:br/><w:r><w:rPr><w:rFonts w:ascii="Times New Roman" w:hAnsi="Times New Roman" w:eastAsia="Times New Roman" w:cs="Times New Roman"/><w:sz w:val="16"/><w:szCs w:val="16"/><w:b w:val="1"/><w:bCs w:val="1"/><w:spacing w:val="0"/></w:rPr><w:t xml:space="preserve">Have Not</w:t></w:r><w:br/><w:r><w:rPr><w:rFonts w:ascii="Times New Roman" w:hAnsi="Times New Roman" w:eastAsia="Times New Roman" w:cs="Times New Roman"/><w:sz w:val="16"/><w:szCs w:val="16"/><w:b w:val="1"/><w:bCs w:val="1"/><w:spacing w:val="0"/></w:rPr><w:t xml:space="preserve">Vested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Market Value</w:t></w:r><w:br/><w:r><w:rPr><w:rFonts w:ascii="Times New Roman" w:hAnsi="Times New Roman" w:eastAsia="Times New Roman" w:cs="Times New Roman"/><w:sz w:val="16"/><w:szCs w:val="16"/><w:b w:val="1"/><w:bCs w:val="1"/><w:spacing w:val="0"/></w:rPr><w:t xml:space="preserve">of Shares or</w:t></w:r><w:br/><w:r><w:rPr><w:rFonts w:ascii="Times New Roman" w:hAnsi="Times New Roman" w:eastAsia="Times New Roman" w:cs="Times New Roman"/><w:sz w:val="16"/><w:szCs w:val="16"/><w:b w:val="1"/><w:bCs w:val="1"/><w:spacing w:val="0"/></w:rPr><w:t xml:space="preserve">Units of</w:t></w:r><w:br/><w:r><w:rPr><w:rFonts w:ascii="Times New Roman" w:hAnsi="Times New Roman" w:eastAsia="Times New Roman" w:cs="Times New Roman"/><w:sz w:val="16"/><w:szCs w:val="16"/><w:b w:val="1"/><w:bCs w:val="1"/><w:spacing w:val="0"/></w:rPr><w:t xml:space="preserve">Stock That</w:t></w:r><w:br/><w:r><w:rPr><w:rFonts w:ascii="Times New Roman" w:hAnsi="Times New Roman" w:eastAsia="Times New Roman" w:cs="Times New Roman"/><w:sz w:val="16"/><w:szCs w:val="16"/><w:b w:val="1"/><w:bCs w:val="1"/><w:spacing w:val="0"/></w:rPr><w:t xml:space="preserve">Have Not</w:t></w:r><w:br/><w:r><w:rPr><w:rFonts w:ascii="Times New Roman" w:hAnsi="Times New Roman" w:eastAsia="Times New Roman" w:cs="Times New Roman"/><w:sz w:val="16"/><w:szCs w:val="16"/><w:b w:val="1"/><w:bCs w:val="1"/><w:spacing w:val="0"/></w:rPr><w:t xml:space="preserve">Vested ($)(1)</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519,860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7/24/2023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7/24/2013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664,804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8/21/2014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1,637,631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12/8/2014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29,760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435,632</w:t></w:r></w:p></w:tc><w:tc><w:tcPr><w:tcW w:w="5000" w:type="pct"/><w:vAlign w:val="bottom"/><w:shd w:val="clear" w:fill="CCEEFF"/><w:noWrap/></w:tcPr><w:p><w:pPr/><w:r><w:rPr><w:rFonts w:ascii="Times New Roman" w:hAnsi="Times New Roman" w:eastAsia="Times New Roman" w:cs="Times New Roman"/><w:sz w:val="20"/><w:szCs w:val="20"/><w:shd w:val="clear" w:fill="CCEEFF"/></w:rPr><w:t xml:space="preserve">(2)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395,289</w:t></w:r></w:p></w:tc><w:tc><w:tcPr><w:tcW w:w="5000" w:type="pct"/><w:vAlign w:val="bottom"/><w:shd w:val="clear" w:fill="CCEEFF"/><w:noWrap/></w:tcPr><w:p><w:pPr/><w:r><w:rPr><w:rFonts w:ascii="Times New Roman" w:hAnsi="Times New Roman" w:eastAsia="Times New Roman" w:cs="Times New Roman"/><w:sz w:val="20"/><w:szCs w:val="20"/><w:shd w:val="clear" w:fill="CCEEFF"/></w:rPr><w:t xml:space="preserve">(3)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82,810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765,164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r><w:tr><w:trPr/><w:tc><w:tcPr><w:tcW w:w="5000" w:type="pct"/><w:vAlign w:val="top"/><w:noWrap/></w:tcPr><w:p><w:pPr/><w:r><w:rPr><w:rFonts w:ascii="&quot;Times New Roman&quot;" w:hAnsi="&quot;Times New Roman&quot;" w:eastAsia="&quot;Times New Roman&quot;" w:cs="&quot;Times New Roman&quot;"/><w:sz w:val="20"/><w:szCs w:val="20"/><w:spacing w:val="0"/></w:rPr><w:t xml:space="preserve">Patrick Bilbo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152,250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4/22/2030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4/22/2020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142,100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5/4/2027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5/4/2017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60,900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40,600</w:t></w:r></w:p></w:tc><w:tc><w:tcPr><w:tcW w:w="5000" w:type="pct"/><w:vAlign w:val="bottom"/><w:noWrap/></w:tcPr><w:p><w:pPr/><w:r><w:rPr><w:rFonts w:ascii="Times New Roman" w:hAnsi="Times New Roman" w:eastAsia="Times New Roman" w:cs="Times New Roman"/><w:sz w:val="20"/><w:szCs w:val="20"/></w:rPr><w:t xml:space="preserve">(4)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5/4/2027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5/4/2017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56,046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168,139</w:t></w:r></w:p></w:tc><w:tc><w:tcPr><w:tcW w:w="5000" w:type="pct"/><w:vAlign w:val="bottom"/><w:noWrap/></w:tcPr><w:p><w:pPr/><w:r><w:rPr><w:rFonts w:ascii="Times New Roman" w:hAnsi="Times New Roman" w:eastAsia="Times New Roman" w:cs="Times New Roman"/><w:sz w:val="20"/><w:szCs w:val="20"/></w:rPr><w:t xml:space="preserve">(2)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4.04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4/22/2030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4/22/2020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82,556</w:t></w:r></w:p></w:tc><w:tc><w:tcPr><w:tcW w:w="5000" w:type="pct"/><w:vAlign w:val="bottom"/><w:noWrap/></w:tcPr><w:p><w:pPr/><w:r><w:rPr><w:rFonts w:ascii="Times New Roman" w:hAnsi="Times New Roman" w:eastAsia="Times New Roman" w:cs="Times New Roman"/><w:sz w:val="20"/><w:szCs w:val="20"/></w:rPr><w:t xml:space="preserve">(3)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13.68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2/16/2031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2/16/2021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25,103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231,952</w:t></w:r></w:p></w:tc><w:tc><w:tcPr><w:tcW w:w="5000" w:type="pct"/><w:vAlign w:val="bottom"/><w:noWrap/></w:tcPr><w:p><w:pPr/><w:r><w:rPr><w:rFonts w:ascii="Times New Roman" w:hAnsi="Times New Roman" w:eastAsia="Times New Roman" w:cs="Times New Roman"/><w:sz w:val="20"/><w:szCs w:val="20"/></w:rPr><w:t xml:space="preserve"> </w:t></w:r></w:p></w:tc></w:tr><w:tr><w:trPr/><w:tc><w:tcPr><w:tcW w:w="5000" w:type="pct"/><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David Francisco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43,239</w:t></w:r></w:p></w:tc><w:tc><w:tcPr><w:tcW w:w="5000" w:type="pct"/><w:vAlign w:val="bottom"/><w:shd w:val="clear" w:fill="CCEEFF"/><w:noWrap/></w:tcPr><w:p><w:pPr/><w:r><w:rPr><w:rFonts w:ascii="Times New Roman" w:hAnsi="Times New Roman" w:eastAsia="Times New Roman" w:cs="Times New Roman"/><w:sz w:val="20"/><w:szCs w:val="20"/><w:shd w:val="clear" w:fill="CCEEFF"/></w:rPr><w:t xml:space="preserve">(5)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83,955</w:t></w:r></w:p></w:tc><w:tc><w:tcPr><w:tcW w:w="5000" w:type="pct"/><w:vAlign w:val="bottom"/><w:shd w:val="clear" w:fill="CCEEFF"/><w:noWrap/></w:tcPr><w:p><w:pPr/><w:r><w:rPr><w:rFonts w:ascii="Times New Roman" w:hAnsi="Times New Roman" w:eastAsia="Times New Roman" w:cs="Times New Roman"/><w:sz w:val="20"/><w:szCs w:val="20"/><w:shd w:val="clear" w:fill="CCEEFF"/></w:rPr><w:t xml:space="preserve">(3)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8,224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75,990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The market values of the awards set forth in this table are based on the number of awards shown multiplied by the closing price of our common stock on December 31, 2021 ($9.24), as reported by the Nasdaq Capital Market.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The option becomes exercisable in equal annual installments over four years beginning April 1, 2020, subject to continued employment.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The option becomes exercisable in equal annual installments over four years beginning February 16, 2021, subject to continued employment.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(4)</w:t></w:r></w:p></w:tc><w:tc><w:tcPr><w:tcW w:w="5000" w:type="pct"/><w:vAlign w:val="top"/><w:noWrap/></w:tcPr><w:p><w:pPr><w:jc w:val="start"/></w:pPr><w:r><w:rPr><w:rFonts w:ascii="&quot;Times New Roman&quot;" w:hAnsi="&quot;Times New Roman&quot;" w:eastAsia="&quot;Times New Roman&quot;" w:cs="&quot;Times New Roman&quot;"/><w:sz w:val="20"/><w:szCs w:val="20"/><w:spacing w:val="0"/></w:rPr><w:t xml:space="preserve">Twenty percent of the shares underlying this option vested on the vesting start date, January 30, 2019, and the option vested/vests with respect to an additional 20% of the shares on each anniversary of the vesting start date thereafter, such that the option will be vested in full on January 30, 2023, subject to continued employment.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(5)</w:t></w:r></w:p></w:tc><w:tc><w:tcPr><w:tcW w:w="5000" w:type="pct"/><w:vAlign w:val="top"/><w:noWrap/></w:tcPr><w:p><w:pPr><w:jc w:val="start"/></w:pPr><w:r><w:rPr><w:rFonts w:ascii="&quot;Times New Roman&quot;" w:hAnsi="&quot;Times New Roman&quot;" w:eastAsia="&quot;Times New Roman&quot;" w:cs="&quot;Times New Roman&quot;"/><w:sz w:val="20"/><w:szCs w:val="20"/><w:spacing w:val="0"/></w:rPr><w:t xml:space="preserve">The option becomes fully exercisable on February 15, 2022, subject to continued employment. </w:t></w:r></w:p></w:tc></w:tr></w:tbl><w:p><w:pPr><w:jc w:val="start"/></w:pPr><w:r><w:rPr><w:rFonts w:ascii="&quot;Times New Roman&quot;" w:hAnsi="&quot;Times New Roman&quot;" w:eastAsia="&quot;Times New Roman&quot;" w:cs="&quot;Times New Roman&quot;"/><w:sz w:val="20"/><w:szCs w:val="20"/><w:b w:val="1"/><w:bCs w:val="1"/><w:spacing w:val="0"/></w:rPr><w:t xml:space="preserve">Director Compensation </w:t></w:r></w:p><w:p><w:pPr><w:jc w:val="start"/></w:pPr><w:r><w:rPr><w:rFonts w:ascii="&quot;Times New Roman&quot;" w:hAnsi="&quot;Times New Roman&quot;" w:eastAsia="&quot;Times New Roman&quot;" w:cs="&quot;Times New Roman&quot;"/><w:sz w:val="20"/><w:szCs w:val="20"/><w:spacing w:val="0"/></w:rPr><w:t xml:space="preserve">Our board of directors has approved a compensation program under which our independent directors (currently Ms. Duraibabu, Dr. Driscoll and Messrs. Giacomin and Leibowitz) are entitled to receive the following annual retainer and committee fees for their service as directors: </w:t></w:r></w:p><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director, an annual retainer of $50,000 (increased to $55,000 effective April 1, 2022);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chair of the audit committee, $105,000 (decreased to $40,000 effective April 1, 2022);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member of the audit committee other than as chair, $10,000;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chair of the compensation committee, $95,000 (decreased to $20,000 effective April 1, 2022);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member of the compensation committee other than as chair, $10,000;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chair of the nominating committee, $20,000 (decreased to $15,000 effective April 1, 2022); and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for service as a member of the nominating committee other than as a chair, $10,000 (decreased to $7,500 effective April 1, 2022).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On August 3, 2021, our board of directors appointed Mr. Leibowitz as interim chair of the compensation committee. As compensation for his service as interim chair of the compensation committee, our board of directors awarded Mr. Leibowitz 5,000 restricted stock units that vest on August 3, 2022, subject to continued service on our board of directors. Mr. Leibowitz did not receive any other compensation for his service as interim chair of the compensation committee. Mr. Giacomin was appointed chair of the compensation committee effective February 15, 2022. </w:t></w:r></w:p><w:p><w:pPr><w:jc w:val="start"/></w:pPr><w:r><w:rPr><w:rFonts w:ascii="Times New Roman" w:hAnsi="Times New Roman" w:eastAsia="Times New Roman" w:cs="Times New Roman"/><w:sz w:val="20"/><w:szCs w:val="20"/></w:rPr><w:t xml:space="preserve">Retainer and committee fees are paid in arrears. The independent directors who served on our board of directors in fiscal year 2021 were Messrs. Leibowitz, Mackie (until May 7, 2021), Tamaroff (until May 24, 2021), Mr. Giacomin (since May 7, 2021) and Ms. Duraibabu (since November 19, 2021). Messrs. Leibowitz, Mackie and Tamaroff each received an option award with respect to 30,000 shares of our Class A common stock in connection with their initial election to our board of directors in December 2018, which vested annually over three years, subject to continued service. We planned also to make an annual option grant to each of our independent directors with respect to 20,000 shares of our Class A common stock, vesting annually over three years, subject to continued service. However, our board of directors decided instead to make discretionary equity grants to our independent directors each year. Those discretionary grants consisted of the following equity awards to each independent director: (1) a grant in April 2020 of 18,564 restricted stock units, which vested on April 1, 2021; (2) a grant in February 2021 of 6,318 restricted stock units, which vested on April 1, 2022; (3) a grant in February 2021 of 5,482 restricted stock units, which vested on February 16, 2022; and (4) a grant in February 2022 of 20,547 restricted stock units, which will vest on February 15, 2023, subject to continued service. </w:t></w:r></w:p><w:p><w:pPr><w:jc w:val="start"/></w:pPr><w:r><w:rPr><w:rFonts w:ascii="Times New Roman" w:hAnsi="Times New Roman" w:eastAsia="Times New Roman" w:cs="Times New Roman"/><w:sz w:val="20"/><w:szCs w:val="20"/><w:spacing w:val="0"/></w:rPr><w:t xml:space="preserve">All non-employee directors</w:t></w:r></w:p><w:p><w:pPr><w:jc w:val="start"/></w:pPr><w:r><w:rPr><w:rFonts w:ascii="Times New Roman" w:hAnsi="Times New Roman" w:eastAsia="Times New Roman" w:cs="Times New Roman"/><w:sz w:val="20"/><w:szCs w:val="20"/></w:rPr><w:t xml:space="preserve"> are reimbursed for customary business expenses incurred in connection with attending board and committee meetings. Mr. Giacomin received a grant of 5,319 restricted stock units upon his initial election to the board of directors which vests in equal annual installments over three years beginning May 7, 2021, Ms. Duraibabu received a grant of 11,340 restricted stock units upon her initial election to the board of directors which vests in equal annual installments over three years beginning November 19, 2021. Dr. Driscoll received a grant of 20,547 restricted stock units upon his initial election to the board of directors which will vest on February 15, 2023, subject to continued service. </w:t></w:r></w:p><w:p><w:pPr><w:jc w:val="start"/></w:pPr><w:r><w:rPr><w:rFonts w:ascii="Times New Roman" w:hAnsi="Times New Roman" w:eastAsia="Times New Roman" w:cs="Times New Roman"/><w:sz w:val="20"/><w:szCs w:val="20"/></w:rPr><w:t xml:space="preserve">The following table sets forth information regarding compensation awarded to, earned by or paid to </w:t></w:r></w:p><w:p><w:pPr><w:jc w:val="start"/></w:pPr><w:r><w:rPr><w:rFonts w:ascii="Times New Roman" w:hAnsi="Times New Roman" w:eastAsia="Times New Roman" w:cs="Times New Roman"/><w:sz w:val="20"/><w:szCs w:val="20"/><w:spacing w:val="0"/></w:rPr><w:t xml:space="preserve">our non-employee directors</w:t></w:r></w:p><w:p><w:pPr><w:jc w:val="start"/></w:pPr><w:r><w:rPr><w:rFonts w:ascii="Times New Roman" w:hAnsi="Times New Roman" w:eastAsia="Times New Roman" w:cs="Times New Roman"/><w:sz w:val="20"/><w:szCs w:val="20"/></w:rPr><w:t xml:space="preserve"> in connection with their service for the year ended December 31, 2021. We do not pay any compensation to our President and Chief Executive Officer in connection with his service on our board of directors. See “Executive Compensation” for a discussion of the compensation of Mr. Gillheeney. </w:t></w:r></w:p><w:p><w:pPr><w:jc w:val="start"/></w:pPr><w:r><w:rPr><w:sz w:val="24"/><w:szCs w:val="24"/><w:spacing w:val="0"/></w:rPr><w:t xml:space="preserve"> </w:t></w:r></w:p><w:tbl><w:tblGrid><w:gridCol w:w="2750" w:type="dxa"/><w:gridCol w:w="400" w:type="dxa"/><w:gridCol w:w="4200" w:type="dxa"/><w:gridCol w:w="4200" w:type="dxa"/><w:gridCol w:w="4200" w:type="dxa"/><w:gridCol w:w="400" w:type="dxa"/><w:gridCol w:w="4200" w:type="dxa"/><w:gridCol w:w="4200" w:type="dxa"/><w:gridCol w:w="4200" w:type="dxa"/><w:gridCol w:w="400" w:type="dxa"/><w:gridCol w:w="4200" w:type="dxa"/><w:gridCol w:w="4200" w:type="dxa"/><w:gridCol w:w="4200" w:type="dxa"/></w:tblGrid><w:tblPr><w:tblW w:w="4200" w:type="pct"/><w:tblCellSpacing w:w="0" w:type="dxa"/><w:tblLayout w:type="autofit"/></w:tblPr><w:tr><w:trPr/><w:tc><w:tcPr><w:tcW w:w="2750" w:type="pct"/><w:noWrap/></w:tcPr><w:p><w:pPr/></w:p></w:tc><w:tc><w:tcPr><w:tcW w:w="400" w:type="pct"/><w:vAlign w:val="bottom"/><w:noWrap/></w:tcPr><w:p><w:pPr/></w:p></w:tc><w:tc><w:tcPr><w:tcW w:w="4200" w:type="pct"/><w:noWrap/></w:tcPr><w:p><w:pPr/></w:p></w:tc><w:tc><w:tcPr><w:tcW w:w="4200" w:type="pct"/><w:noWrap/></w:tcPr><w:p><w:pPr/></w:p></w:tc><w:tc><w:tcPr><w:tcW w:w="4200" w:type="pct"/><w:noWrap/></w:tcPr><w:p><w:pPr/></w:p></w:tc><w:tc><w:tcPr><w:tcW w:w="400" w:type="pct"/><w:vAlign w:val="bottom"/><w:noWrap/></w:tcPr><w:p><w:pPr/></w:p></w:tc><w:tc><w:tcPr><w:tcW w:w="4200" w:type="pct"/><w:noWrap/></w:tcPr><w:p><w:pPr/></w:p></w:tc><w:tc><w:tcPr><w:tcW w:w="4200" w:type="pct"/><w:noWrap/></w:tcPr><w:p><w:pPr/></w:p></w:tc><w:tc><w:tcPr><w:tcW w:w="4200" w:type="pct"/><w:noWrap/></w:tcPr><w:p><w:pPr/></w:p></w:tc><w:tc><w:tcPr><w:tcW w:w="40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b w:val="1"/><w:bCs w:val="1"/><w:spacing w:val="0"/></w:rPr><w:t xml:space="preserve">Name</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Fees earned or paid in</w:t></w:r><w:br/><w:r><w:rPr><w:rFonts w:ascii="Times New Roman" w:hAnsi="Times New Roman" w:eastAsia="Times New Roman" w:cs="Times New Roman"/><w:sz w:val="16"/><w:szCs w:val="16"/><w:b w:val="1"/><w:bCs w:val="1"/><w:spacing w:val="0"/></w:rPr><w:t xml:space="preserve">cash ($)(1)</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Stock awards ($)(2)</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Total ($)</w:t></w:r></w:p></w:tc><w:tc><w:tcPr><w:tcW w:w="4200" w:type="pct"/><w:vAlign w:val="bottom"/><w:noWrap/></w:tcPr><w:p><w:pPr/><w:r><w:rPr><w:rFonts w:ascii="Times New Roman" w:hAnsi="Times New Roman" w:eastAsia="Times New Roman" w:cs="Times New Roman"/><w:sz w:val="16"/><w:szCs w:val="16"/></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Alan A. Ades</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Robert Ades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Prathyusha Duraibabu(5)</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7,011</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112,493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119,504</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Michael Driscoll(3)</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David Erani</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Jon Giacomin(4)</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52,762</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112,497</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165,259</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Arthur S. Leibowitz</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169,103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235,474</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404,577</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Wayne Mackie(4)</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77,500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161,424</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238,924</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Glenn H. Nussdorf</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Joshua Tamaroff(5)</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23,901</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161,424</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185,325</w:t></w:r></w:p></w:tc><w:tc><w:tcPr><w:tcW w:w="4200" w:type="pct"/><w:vAlign w:val="bottom"/><w:noWrap/></w:tcPr><w:p><w:pPr/><w:r><w:rPr><w:rFonts w:ascii="Times New Roman" w:hAnsi="Times New Roman" w:eastAsia="Times New Roman" w:cs="Times New Roman"/><w:sz w:val="20"/><w:szCs w:val="20"/></w:rPr><w:t xml:space="preserve"> </w:t></w:r></w:p></w:tc></w:tr></w:tbl><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Represents amount earned or paid for service as a director during fiscal year 2021.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rPr><w:t xml:space="preserve">Represents the grant date fair value of restricted stock unit awards granted in fiscal year 2021 in accordance with ASC 718. See Note 14 of the notes to our financial statements included in our Annual Report on </w:t></w:r><w:r><w:rPr><w:rFonts w:ascii="&quot;Times New Roman&quot;" w:hAnsi="&quot;Times New Roman&quot;" w:eastAsia="&quot;Times New Roman&quot;" w:cs="&quot;Times New Roman&quot;"/><w:sz w:val="20"/><w:szCs w:val="20"/><w:spacing w:val="0"/></w:rPr><w:t xml:space="preserve">Form 10-K</w:t></w:r><w:r><w:rPr><w:rFonts w:ascii="&quot;Times New Roman&quot;" w:hAnsi="&quot;Times New Roman&quot;" w:eastAsia="&quot;Times New Roman&quot;" w:cs="&quot;Times New Roman&quot;"/><w:sz w:val="20"/><w:szCs w:val="20"/></w:rPr><w:t xml:space="preserve"> for the year ended December 31, 2021 for a discussion of the relevant assumptions used in calculating these amounts. The fair value of the restricted stock units was based on the fair market value of the Company’s stock on the date of grant.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Dr. Driscoll was elected to the Board of Directors on February 15, 2022.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(4)</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Mr. Mackie resigned as a director effective May 7, 2021. The board of directors elected Mr. Giacomin to fill the vacancy created by his resignation effective May 7, 2021.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(5)</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Mr. Tamaroff resigned as a director effective May 24, 2021. The board of directors elected Ms. Duraibabu to fill the vacancy created by his resignation effective November 19, 2021.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table below shows the aggregate number of option awards and restricted stock unit awards held as of December 31, 2021 by each of our current </w:t></w:r></w:p><w:p><w:pPr><w:jc w:val="start"/></w:pPr><w:r><w:rPr><w:rFonts w:ascii="Times New Roman" w:hAnsi="Times New Roman" w:eastAsia="Times New Roman" w:cs="Times New Roman"/><w:sz w:val="20"/><w:szCs w:val="20"/><w:spacing w:val="0"/></w:rPr><w:t xml:space="preserve">non-employee</w:t></w:r></w:p><w:p><w:pPr><w:jc w:val="start"/></w:pPr><w:r><w:rPr><w:rFonts w:ascii="Times New Roman" w:hAnsi="Times New Roman" w:eastAsia="Times New Roman" w:cs="Times New Roman"/><w:sz w:val="20"/><w:szCs w:val="20"/></w:rPr><w:t xml:space="preserve"> directors who was serving as of that date. </w:t></w:r></w:p><w:p><w:pPr><w:jc w:val="start"/></w:pPr><w:r><w:rPr><w:sz w:val="24"/><w:szCs w:val="24"/><w:spacing w:val="0"/></w:rPr><w:t xml:space="preserve"> </w:t></w:r></w:p><w:tbl><w:tblGrid><w:gridCol w:w="3300" w:type="dxa"/><w:gridCol w:w="550" w:type="dxa"/><w:gridCol w:w="4200" w:type="dxa"/><w:gridCol w:w="4200" w:type="dxa"/><w:gridCol w:w="4200" w:type="dxa"/><w:gridCol w:w="550" w:type="dxa"/><w:gridCol w:w="4200" w:type="dxa"/><w:gridCol w:w="4200" w:type="dxa"/><w:gridCol w:w="4200" w:type="dxa"/></w:tblGrid><w:tblPr><w:tblW w:w="4200" w:type="pct"/><w:tblCellSpacing w:w="0" w:type="dxa"/><w:tblLayout w:type="autofit"/></w:tblPr><w:tr><w:trPr/><w:tc><w:tcPr><w:tcW w:w="3300" w:type="pct"/><w:noWrap/></w:tcPr><w:p><w:pPr/></w:p></w:tc><w:tc><w:tcPr><w:tcW w:w="550" w:type="pct"/><w:vAlign w:val="bottom"/><w:noWrap/></w:tcPr><w:p><w:pPr/></w:p></w:tc><w:tc><w:tcPr><w:tcW w:w="4200" w:type="pct"/><w:noWrap/></w:tcPr><w:p><w:pPr/></w:p></w:tc><w:tc><w:tcPr><w:tcW w:w="4200" w:type="pct"/><w:noWrap/></w:tcPr><w:p><w:pPr/></w:p></w:tc><w:tc><w:tcPr><w:tcW w:w="4200" w:type="pct"/><w:noWrap/></w:tcPr><w:p><w:pPr/></w:p></w:tc><w:tc><w:tcPr><w:tcW w:w="55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b w:val="1"/><w:bCs w:val="1"/><w:spacing w:val="0"/></w:rPr><w:t xml:space="preserve">Name</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Number of Shares</w:t></w:r><w:br/><w:r><w:rPr><w:rFonts w:ascii="Times New Roman" w:hAnsi="Times New Roman" w:eastAsia="Times New Roman" w:cs="Times New Roman"/><w:sz w:val="16"/><w:szCs w:val="16"/><w:b w:val="1"/><w:bCs w:val="1"/><w:spacing w:val="0"/></w:rPr><w:t xml:space="preserve">Underlying Options</w:t></w:r><w:br/><w:r><w:rPr><w:rFonts w:ascii="Times New Roman" w:hAnsi="Times New Roman" w:eastAsia="Times New Roman" w:cs="Times New Roman"/><w:sz w:val="16"/><w:szCs w:val="16"/><w:b w:val="1"/><w:bCs w:val="1"/><w:spacing w:val="0"/></w:rPr><w:t xml:space="preserve">Outstanding at</w:t></w:r><w:br/><w:r><w:rPr><w:rFonts w:ascii="Times New Roman" w:hAnsi="Times New Roman" w:eastAsia="Times New Roman" w:cs="Times New Roman"/><w:sz w:val="16"/><w:szCs w:val="16"/><w:b w:val="1"/><w:bCs w:val="1"/><w:spacing w:val="0"/></w:rPr><w:t xml:space="preserve">December 31, 2021</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Stock Awards</w:t></w:r><w:br/><w:r><w:rPr><w:rFonts w:ascii="Times New Roman" w:hAnsi="Times New Roman" w:eastAsia="Times New Roman" w:cs="Times New Roman"/><w:sz w:val="16"/><w:szCs w:val="16"/><w:b w:val="1"/><w:bCs w:val="1"/><w:spacing w:val="0"/></w:rPr><w:t xml:space="preserve">Outstanding at</w:t></w:r><w:br/><w:r><w:rPr><w:rFonts w:ascii="Times New Roman" w:hAnsi="Times New Roman" w:eastAsia="Times New Roman" w:cs="Times New Roman"/><w:sz w:val="16"/><w:szCs w:val="16"/><w:b w:val="1"/><w:bCs w:val="1"/><w:spacing w:val="0"/></w:rPr><w:t xml:space="preserve">December 31, 2021</w:t></w:r></w:p></w:tc><w:tc><w:tcPr><w:tcW w:w="4200" w:type="pct"/><w:vAlign w:val="bottom"/><w:noWrap/></w:tcPr><w:p><w:pPr/><w:r><w:rPr><w:rFonts w:ascii="Times New Roman" w:hAnsi="Times New Roman" w:eastAsia="Times New Roman" w:cs="Times New Roman"/><w:sz w:val="16"/><w:szCs w:val="16"/></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Alan A. Ades</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Robert Ades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Prathyusha Duraibabu</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11,340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David Erani</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Jon Giacomin</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5,319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Arthur S. Leibowitz</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30,000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35,364</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Glenn H. Nussdorf</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rFonts w:ascii="&quot;Times New Roman&quot;" w:hAnsi="&quot;Times New Roman&quot;" w:eastAsia="&quot;Times New Roman&quot;" w:cs="&quot;Times New Roman&quot;"/><w:sz w:val="20"/><w:szCs w:val="20"/><w:b w:val="1"/><w:bCs w:val="1"/><w:spacing w:val="0"/></w:rPr><w:t xml:space="preserve">Compensation Committee Interlocks and Insider Participation </w:t></w:r></w:p><w:p><w:pPr><w:jc w:val="start"/></w:pPr><w:r><w:rPr><w:rFonts w:ascii="&quot;Times New Roman&quot;" w:hAnsi="&quot;Times New Roman&quot;" w:eastAsia="&quot;Times New Roman&quot;" w:cs="&quot;Times New Roman&quot;"/><w:sz w:val="20"/><w:szCs w:val="20"/><w:spacing w:val="0"/></w:rPr><w:t xml:space="preserve">From November 3, 2020 until May 7, 2021, the compensation committee consisted of Mr. Mackie, its chairperson, Mr. Alan Ades and Mr. Leibowitz. From May 7, 2021 until May 24, 2021, the compensation committee consisted of Mr. Tamaroff, its chairperson, Mr. Alan Ades and Mr. Leibowitz. From May 24, 2021 until July 16, 2021, the compensation committee consisted of Mr. Alan Ades and Mr. Leibowitz. From July 16, 2021 until February 15, 2022, the compensation committee consisted of Mr. Leibowitz, its interim chairperson, Mr. Alan Ades and Mr. Giacomin. Currently, all of the members of our compensation committee are independent. As disclosed herein, decisions about the compensation of our executive officers are made by our board of directors based upon the recommendation of our compensation committee. None of our executive officers serves, or in the past has served, as a member of the board of directors or compensation committee, or other committee serving an equivalent function, of any entity that has one or more executive officers who serve as members of our compensation committee or board of directors. None of the members of our board of directors is an officer or employee of our company nor has any of them ever been an officer or employee of our company, in each case, other than Mr. Gillheeney. </w:t></w:r></w:p><w:p><w:pPr><w:jc w:val="start"/></w:pPr><w:r><w:rPr><w:sz w:val="36"/><w:szCs w:val="36"/><w:spacing w:val="0"/></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quot;Times New Roman&quot;" w:hAnsi="&quot;Times New Roman&quot;" w:eastAsia="&quot;Times New Roman&quot;" w:cs="&quot;Times New Roman&quot;"/><w:sz w:val="20"/><w:szCs w:val="20"/><w:b w:val="1"/><w:bCs w:val="1"/><w:spacing w:val="0"/></w:rPr><w:t xml:space="preserve">ITEM 12.</w:t></w:r></w:p></w:tc><w:tc><w:tcPr><w:tcW w:w="5000" w:type="pct"/><w:vAlign w:val="top"/><w:noWrap/></w:tcPr><w:p><w:pPr><w:jc w:val="start"/></w:pPr><w:r><w:rPr><w:rFonts w:ascii="&quot;Times New Roman&quot;" w:hAnsi="&quot;Times New Roman&quot;" w:eastAsia="&quot;Times New Roman&quot;" w:cs="&quot;Times New Roman&quot;"/><w:sz w:val="20"/><w:szCs w:val="20"/><w:b w:val="1"/><w:bCs w:val="1"/><w:spacing w:val="0"/></w:rPr><w:t xml:space="preserve">SECURITY OWNERSHIP OF CERTAIN BENEFICIAL OWNERS AND MANAGEMENT AND RELATED STOCKHOLDER MATTERS </w:t></w:r></w:p></w:tc></w:tr></w:tbl><w:p><w:pPr><w:jc w:val="start"/></w:pPr><w:r><w:rPr><w:rFonts w:ascii="&quot;Times New Roman&quot;" w:hAnsi="&quot;Times New Roman&quot;" w:eastAsia="&quot;Times New Roman&quot;" w:cs="&quot;Times New Roman&quot;"/><w:sz w:val="20"/><w:szCs w:val="20"/><w:spacing w:val="0"/></w:rPr><w:t xml:space="preserve">The following table sets forth certain information with respect to beneficial ownership of our common stock, as of April 10, 2022, by: </w:t></w:r></w:p><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each person or entity, or group of affiliated persons or entities, known by us to beneficially own more than 5% of our common stock;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each of our directors;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each of our named executive officers; and </w:t></w:r></w:p></w:tc></w:tr></w:tbl><w:p><w:pPr><w:jc w:val="start"/></w:pPr><w:r><w:rPr><w:sz w:val="12"/><w:szCs w:val="12"/><w:spacing w:val="0"/></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quot;Times New Roman&quot;" w:hAnsi="&quot;Times New Roman&quot;" w:eastAsia="&quot;Times New Roman&quot;" w:cs="&quot;Times New Roman&quot;"/><w:sz w:val="20"/><w:szCs w:val="20"/></w:rPr><w:t xml:space="preserve"> </w:t></w:r></w:p></w:tc><w:tc><w:tcPr><w:tcW w:w="15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all of our executive officers and directors as a group. </w:t></w:r></w:p></w:tc></w:tr></w:tbl><w:p><w:pPr><w:jc w:val="start"/></w:pPr><w:r><w:rPr><w:rFonts w:ascii="&quot;Times New Roman&quot;" w:hAnsi="&quot;Times New Roman&quot;" w:eastAsia="&quot;Times New Roman&quot;" w:cs="&quot;Times New Roman&quot;"/><w:sz w:val="20"/><w:szCs w:val="20"/><w:spacing w:val="0"/></w:rPr><w:t xml:space="preserve">Beneficial ownership is determined in accordance with the rules of the SEC. In computing the number of shares beneficially owned by a person and the percentage ownership of that person, shares of common stock (i) underlying RSUs that will vest within 60 days of April 10, 2022 or (ii) subject to options or warrants held by that person that are currently exercisable or exercisable within 60 days of April 10, 2022, are deemed outstanding, but are not deemed outstanding for computing the percentage ownership of any other person. To our knowledge, except as set forth in the footnotes to this table and subject to applicable community property laws, each person named in the table has sole voting and investment power with respect to the shares set forth opposite such person’s name. </w:t></w:r></w:p><w:p><w:pPr><w:jc w:val="start"/></w:pPr><w:r><w:rPr><w:rFonts w:ascii="Times New Roman" w:hAnsi="Times New Roman" w:eastAsia="Times New Roman" w:cs="Times New Roman"/><w:sz w:val="20"/><w:szCs w:val="20"/></w:rPr><w:t xml:space="preserve">Each stockholder’s percentage ownership is determined in accordance with Rule </w:t></w:r></w:p><w:p><w:pPr><w:jc w:val="start"/></w:pPr><w:r><w:rPr><w:rFonts w:ascii="Times New Roman" w:hAnsi="Times New Roman" w:eastAsia="Times New Roman" w:cs="Times New Roman"/><w:sz w:val="20"/><w:szCs w:val="20"/><w:spacing w:val="0"/></w:rPr><w:t xml:space="preserve">13d-3</w:t></w:r></w:p><w:p><w:pPr><w:jc w:val="start"/></w:pPr><w:r><w:rPr><w:rFonts w:ascii="Times New Roman" w:hAnsi="Times New Roman" w:eastAsia="Times New Roman" w:cs="Times New Roman"/><w:sz w:val="20"/><w:szCs w:val="20"/></w:rPr><w:t xml:space="preserve"> under the Exchange Act and is based on 129,074,477 shares of our common stock outstanding as of April 10, 2022. The number of outstanding shares beneficially owned by each stockholder below was obtained from the most recent publicly filed information, as applicable. </w:t></w:r></w:p><w:p><w:pPr><w:jc w:val="start"/></w:pPr><w:r><w:rPr><w:sz w:val="24"/><w:szCs w:val="24"/><w:spacing w:val="0"/></w:rPr><w:t xml:space="preserve"> </w:t></w:r></w:p><w:tbl><w:tblGrid><w:gridCol w:w="295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295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b w:val="1"/><w:bCs w:val="1"/><w:spacing w:val="0"/></w:rPr><w:t xml:space="preserve">Name and Address of Beneficial Owner(1)</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Number</w:t></w:r><w:br/><w:r><w:rPr><w:rFonts w:ascii="Times New Roman" w:hAnsi="Times New Roman" w:eastAsia="Times New Roman" w:cs="Times New Roman"/><w:sz w:val="16"/><w:szCs w:val="16"/><w:b w:val="1"/><w:bCs w:val="1"/><w:spacing w:val="0"/></w:rPr><w:t xml:space="preserve">of Shares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Right to</w:t></w:r><w:br/><w:r><w:rPr><w:rFonts w:ascii="Times New Roman" w:hAnsi="Times New Roman" w:eastAsia="Times New Roman" w:cs="Times New Roman"/><w:sz w:val="16"/><w:szCs w:val="16"/><w:b w:val="1"/><w:bCs w:val="1"/><w:spacing w:val="0"/></w:rPr><w:t xml:space="preserve">Acquire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Total</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Percentage</w:t></w:r><w:br/><w:r><w:rPr><w:rFonts w:ascii="Times New Roman" w:hAnsi="Times New Roman" w:eastAsia="Times New Roman" w:cs="Times New Roman"/><w:sz w:val="16"/><w:szCs w:val="16"/><w:b w:val="1"/><w:bCs w:val="1"/><w:spacing w:val="0"/></w:rPr><w:t xml:space="preserve">of Shares</w:t></w:r><w:br/><w:r><w:rPr><w:rFonts w:ascii="Times New Roman" w:hAnsi="Times New Roman" w:eastAsia="Times New Roman" w:cs="Times New Roman"/><w:sz w:val="16"/><w:szCs w:val="16"/><w:b w:val="1"/><w:bCs w:val="1"/><w:spacing w:val="0"/></w:rPr><w:t xml:space="preserve">Outstanding</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b w:val="1"/><w:bCs w:val="1"/><w:i w:val="1"/><w:iCs w:val="1"/><w:spacing w:val="0"/><w:shd w:val="clear" w:fill="CCEEFF"/></w:rPr><w:t xml:space="preserve">5%+ Stockholders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4600" w:type="pct"/><w:vAlign w:val="top"/><w:noWrap/></w:tcPr><w:p><w:pPr/><w:r><w:rPr><w:rFonts w:ascii="&quot;Times New Roman&quot;" w:hAnsi="&quot;Times New Roman&quot;" w:eastAsia="&quot;Times New Roman&quot;" w:cs="&quot;Times New Roman&quot;"/><w:sz w:val="20"/><w:szCs w:val="20"/><w:spacing w:val="0"/></w:rPr><w:t xml:space="preserve">Significant Stockholder Group(2)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59,448,027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59,448,027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46.1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Organo PFG LLC and affiliated entities(3)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11,131,474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11,131,474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Deerfield Mgmt, L.P.(4)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8,456,876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8,456,876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BlackRock, Inc.(5)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8,239,832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8,239,832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Michael W. Katz(6)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1,479,062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60,000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1,539,062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b w:val="1"/><w:bCs w:val="1"/><w:i w:val="1"/><w:iCs w:val="1"/><w:spacing w:val="0"/><w:shd w:val="clear" w:fill="CCEEFF"/></w:rPr><w:t xml:space="preserve">Directors and Named Executive Officers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4600" w:type="pct"/><w:vAlign w:val="top"/><w:noWrap/></w:tcPr><w:p><w:pPr/><w:r><w:rPr><w:rFonts w:ascii="&quot;Times New Roman&quot;" w:hAnsi="&quot;Times New Roman&quot;" w:eastAsia="&quot;Times New Roman&quot;" w:cs="&quot;Times New Roman&quot;"/><w:sz w:val="20"/><w:szCs w:val="20"/><w:spacing w:val="0"/></w:rPr><w:t xml:space="preserve">Gary S. Gillheeney, Sr.</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35,233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3,096,089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3,131,322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2.4</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Alan A. Ades(7)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26,375,746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26,375,746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Robert Ades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Michael J. Driscoll</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Prathyusha Duraibabu</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David Erani</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Jon Giacomin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1,773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1,773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Arthur S. Leibowitz</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42,307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30,000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72,307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Glenn H. Nussdorf(8)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14,963,663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14,963,663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Patrick Bilbo</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105,133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508,281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613,414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David Francisco</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5,308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64,228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69,536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b w:val="1"/><w:bCs w:val="1"/><w:i w:val="1"/><w:iCs w:val="1"/><w:spacing w:val="0"/><w:shd w:val="clear" w:fill="CCEEFF"/></w:rPr><w:t xml:space="preserve">All directors and executive officers as a group (14 individuals)</w:t></w:r><w:r><w:rPr><w:rFonts w:ascii="&quot;Times New Roman&quot;" w:hAnsi="&quot;Times New Roman&quot;" w:eastAsia="&quot;Times New Roman&quot;" w:cs="&quot;Times New Roman&quot;"/><w:sz w:val="20"/><w:szCs w:val="20"/><w:shd w:val="clear" w:fill="CCEEFF"/></w:rPr><w:t xml:space="preserve">(9)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41,561,613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4,372,779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45,934,392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Less than one percent.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Unless otherwise indicated, the business address of each of the individuals is c/o Organogenesis Holdings Inc., 85 Dan Road, Canton, Massachusetts 02021.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RED Holdings, LLC, GN 2016 Family Trust u/a/d August 12, 2016 and GN 2016 Organo </w:t></w:r><w:r><w:rPr><w:rFonts w:ascii="&quot;Times New Roman&quot;" w:hAnsi="&quot;Times New Roman&quot;" w:eastAsia="&quot;Times New Roman&quot;" w:cs="&quot;Times New Roman&quot;"/><w:sz w:val="20"/><w:szCs w:val="20"/><w:spacing w:val="0"/></w:rPr><w:t xml:space="preserve">10-Year</w:t></w:r><w:r><w:rPr><w:rFonts w:ascii="&quot;Times New Roman&quot;" w:hAnsi="&quot;Times New Roman&quot;" w:eastAsia="&quot;Times New Roman&quot;" w:cs="&quot;Times New Roman&quot;"/><w:sz w:val="20"/><w:szCs w:val="20"/></w:rPr><w:t xml:space="preserve"> GRAT u/a/d September 30, 2016, who we refer to collectively as the Significant Stockholder Group, control a significant amount of the voting power of the outstanding Class A common stock. The Significant Stockholder Group reported that they hold their shares of our stock as part of a group (as defined in Section 13(d)(3) of the Exchange Act) for the purposes of reporting beneficial ownership of the Company’s securities in an Amendment No. 6 to Schedule 13D filed on December 30, 2021.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(i) 8,279,490 shares of Class A common stock held by Organo PFG LLC and (ii) 2,851,984 shares of Class A common stock held by Organo Investors LLC. Alan A. Ades and Albert Erani are managing members of Organo PFG LLC and of Organo Investors LLC and they share voting and investment power over the shares of Class A common stock held by each entity. Each of Mr. Ades and Mr. Erani disclaim beneficial ownership of the shares of Class A common stock held by each of Organo PFG LLC and Organo Investors LLC, except to the extent of his pecuniary interest therein. The address of each of the foregoing is c/o Rugby Realty Co., Inc., 300 Lighting Way, Secaucus, NJ 07094.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(4)</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8,456,876 shares of Class A common stock held by Deerfield Partners, L.P., of which Deerfield Mgmt, L.P. is the general partner and Deerfield Management Company, L.P. is the investment advisor. Deerfield Partners, L.P. shares voting and dispositive power with respect to the 8,456,876 shares of Class A common stock with Deerfield Mgmt, L.P., Deerfield Management Company, L.P. and James E. Flynn according to a Schedule 13G filed with the SEC on February 11, 2022. The address of each of the foregoing is 345 Park Avenue South, 12th Floor, New York, NY 10010.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(5)</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8,239,832 shares of Class A common stock held by BlackRock, Inc., and its subsidiaries (collectively, “BlackRock”). BlackRock had sole voting power with respect to 8,202,597 shares and sole dispositive power with respect to 8,239,832 shares according to a Schedule 13G filed with the SEC on February 4, 2022. The address of the foregoing is 55 East 52nd Street, New York, NY 10055.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(6)</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(i) 60,382 shares of Class A common stock, (ii) 1,418,680 shares of Class A common stock (the “Trust Shares”) held by the GN 2016 Family Trust u/a/d August 12, 2016 (the “Trust”) and (iii) 60,000 shares of Class A common stock underlying stock options that are exercisable as of April 10, 2022, or will become exercisable within 60 days after such date. Mr. Katz is the trustee of the Trust, a stockholder of the issuer that is a member of a group holding over 10% of the outstanding shares of Class A common stock of the issuer for purposes of Section 13(d) of the Securities Exchange Act of 1934, as amended. Mr. Katz exercises voting and investment control over the Trust Shares, but Mr. Katz does not have a pecuniary interest in the Trust Shares.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(7)</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(i) 8,406,498 shares of Class A common stock, (ii) 6,837,774 shares of Class A common stock held by Alan Ades as Trustee of the Alan Ades 2014 GRAT, (iii) 8,279,490 shares of Class A common stock held by Organo PFG LLC and (iv) 2,851,984 shares of Class A common stock held by Organo Investors LLC. Mr. Ades exercises voting and investment power over the shares of Class A common stock held by Alan Ades as Trustee of the Alan Ades 2014 GRAT, Organo PFG LLC and Organo Investors LLC. Mr. Ades disclaims beneficial ownership of the shares of Class A common stock held by each of Alan Ades as Trustee of the Alan Ades 2014 GRAT, Organo PFG LLC and Organo Investors LLC, except to the extent of his pecuniary interest therein.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(8)</w:t></w:r></w:p></w:tc><w:tc><w:tcPr><w:tcW w:w="5000" w:type="pct"/><w:vAlign w:val="top"/><w:noWrap/></w:tcPr><w:p><w:pPr><w:jc w:val="start"/></w:pPr><w:r><w:rPr><w:rFonts w:ascii="&quot;Times New Roman&quot;" w:hAnsi="&quot;Times New Roman&quot;" w:eastAsia="&quot;Times New Roman&quot;" w:cs="&quot;Times New Roman&quot;"/><w:sz w:val="20"/><w:szCs w:val="20"/></w:rPr><w:t xml:space="preserve">Consists of (i) 2,783,663 shares of Class A common stock, (ii) 1,418,680 shares of Class A common stock held by GN 2016 Family Trust u/a/d August 12, 2016 and (iii) 10,761,320 shares of Class A common stock held by GN 2016 Organo </w:t></w:r><w:r><w:rPr><w:rFonts w:ascii="&quot;Times New Roman&quot;" w:hAnsi="&quot;Times New Roman&quot;" w:eastAsia="&quot;Times New Roman&quot;" w:cs="&quot;Times New Roman&quot;"/><w:sz w:val="20"/><w:szCs w:val="20"/><w:spacing w:val="0"/></w:rPr><w:t xml:space="preserve">10-Year</w:t></w:r><w:r><w:rPr><w:rFonts w:ascii="&quot;Times New Roman&quot;" w:hAnsi="&quot;Times New Roman&quot;" w:eastAsia="&quot;Times New Roman&quot;" w:cs="&quot;Times New Roman&quot;"/><w:sz w:val="20"/><w:szCs w:val="20"/></w:rPr><w:t xml:space="preserve"> GRAT u/a/d September 30, 2016. Mr. Nussdorf exercises voting and investment power over the shares of Class A common stock held by GN 2016 Organo </w:t></w:r><w:r><w:rPr><w:rFonts w:ascii="&quot;Times New Roman&quot;" w:hAnsi="&quot;Times New Roman&quot;" w:eastAsia="&quot;Times New Roman&quot;" w:cs="&quot;Times New Roman&quot;"/><w:sz w:val="20"/><w:szCs w:val="20"/><w:spacing w:val="0"/></w:rPr><w:t xml:space="preserve">10-Year</w:t></w:r><w:r><w:rPr><w:rFonts w:ascii="&quot;Times New Roman&quot;" w:hAnsi="&quot;Times New Roman&quot;" w:eastAsia="&quot;Times New Roman&quot;" w:cs="&quot;Times New Roman&quot;"/><w:sz w:val="20"/><w:szCs w:val="20"/></w:rPr><w:t xml:space="preserve"> GRAT u/a/d September 30, 2016. Mr. Michael Katz, as trustee, exercises and Mr. Nussdorf may be deemed to exercise voting and investment power over the shares of Class A common stock held by GN 2016 Family Trust u/a/d August 12, 2016. Mr. Nussdorf disclaims beneficial ownership of the shares of Class A common stock held by GN 2016 Organo </w:t></w:r><w:r><w:rPr><w:rFonts w:ascii="&quot;Times New Roman&quot;" w:hAnsi="&quot;Times New Roman&quot;" w:eastAsia="&quot;Times New Roman&quot;" w:cs="&quot;Times New Roman&quot;"/><w:sz w:val="20"/><w:szCs w:val="20"/><w:spacing w:val="0"/></w:rPr><w:t xml:space="preserve">10-Year</w:t></w:r><w:r><w:rPr><w:rFonts w:ascii="&quot;Times New Roman&quot;" w:hAnsi="&quot;Times New Roman&quot;" w:eastAsia="&quot;Times New Roman&quot;" w:cs="&quot;Times New Roman&quot;"/><w:sz w:val="20"/><w:szCs w:val="20"/></w:rPr><w:t xml:space="preserve"> GRAT u/a/d September 30, 2016, except to the extent of his pecuniary interest therein, and each of Mr. Nussdorf and Mr. Katz disclaims beneficial ownership of the shares of Class A common stock held by GN 2016 Family Trust u/a/d August 12, 2016, except to the extent of his pecuniary interest therein. The address of each of the foregoing (other than Mr. Katz) is 35 Sawgrass Drive, Bellport, NY 11713.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(9)</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(i) 41,561,613 shares of Class A common stock, (ii) 4,368,918 shares of Class A common stock underlying stock options that are exercisable as of April 10, 2022 or will become exercisable within 60 days after such date and (iii) 3,861 shares of Class A common stock underlying restricted stock units that will vest within 60 days of April 10, 2022. As to disclaimers of beneficial ownership, see footnotes (2), (7) and (8) above. </w:t></w:r></w:p></w:tc></w:tr></w:tbl><w:p><w:pPr><w:jc w:val="start"/></w:pPr><w:r><w:rPr><w:rFonts w:ascii="&quot;Times New Roman&quot;" w:hAnsi="&quot;Times New Roman&quot;" w:eastAsia="&quot;Times New Roman&quot;" w:cs="&quot;Times New Roman&quot;"/><w:sz w:val="20"/><w:szCs w:val="20"/><w:spacing w:val="0"/></w:rPr><w:t xml:space="preserve">We have one equity compensation plan under which awards are currently authorized for issuance, the 2018 Plan. In connection with the consummation of the business combination in December 2018, our board of directors discontinued any new issuances under the Organogenesis Inc. 2003 Stock Incentive Plan, or 2003 Plan. If options outstanding under the 2003 Plan expire unexercised, they will not become available for future issuance. Both the 2018 Plan and the 2003 Plan were approved by our stockholders. The following table provides information regarding securities authorized for issuance as of December 31, 2021 under our equity compensation plans. </w:t></w:r></w:p><w:p><w:pPr><w:jc w:val="start"/></w:pPr><w:r><w:rPr><w:sz w:val="24"/><w:szCs w:val="24"/><w:spacing w:val="0"/></w:rPr><w:t xml:space="preserve"> </w:t></w:r></w:p><w:tbl><w:tblGrid><w:gridCol w:w="2250" w:type="dxa"/><w:gridCol w:w="650" w:type="dxa"/><w:gridCol w:w="4600" w:type="dxa"/><w:gridCol w:w="4600" w:type="dxa"/><w:gridCol w:w="4600" w:type="dxa"/><w:gridCol w:w="650" w:type="dxa"/><w:gridCol w:w="4600" w:type="dxa"/><w:gridCol w:w="4600" w:type="dxa"/><w:gridCol w:w="4600" w:type="dxa"/><w:gridCol w:w="650" w:type="dxa"/><w:gridCol w:w="4600" w:type="dxa"/><w:gridCol w:w="4600" w:type="dxa"/><w:gridCol w:w="4600" w:type="dxa"/></w:tblGrid><w:tblPr><w:tblW w:w="4600" w:type="pct"/><w:tblCellSpacing w:w="0" w:type="dxa"/><w:tblLayout w:type="autofit"/></w:tblPr><w:tr><w:trPr/><w:tc><w:tcPr><w:tcW w:w="2250" w:type="pct"/><w:noWrap/></w:tcPr><w:p><w:pPr/></w:p></w:tc><w:tc><w:tcPr><w:tcW w:w="650" w:type="pct"/><w:vAlign w:val="bottom"/><w:noWrap/></w:tcPr><w:p><w:pPr/></w:p></w:tc><w:tc><w:tcPr><w:tcW w:w="4600" w:type="pct"/><w:noWrap/></w:tcPr><w:p><w:pPr/></w:p></w:tc><w:tc><w:tcPr><w:tcW w:w="4600" w:type="pct"/><w:noWrap/></w:tcPr><w:p><w:pPr/></w:p></w:tc><w:tc><w:tcPr><w:tcW w:w="4600" w:type="pct"/><w:noWrap/></w:tcPr><w:p><w:pPr/></w:p></w:tc><w:tc><w:tcPr><w:tcW w:w="650" w:type="pct"/><w:vAlign w:val="bottom"/><w:noWrap/></w:tcPr><w:p><w:pPr/></w:p></w:tc><w:tc><w:tcPr><w:tcW w:w="4600" w:type="pct"/><w:noWrap/></w:tcPr><w:p><w:pPr/></w:p></w:tc><w:tc><w:tcPr><w:tcW w:w="4600" w:type="pct"/><w:noWrap/></w:tcPr><w:p><w:pPr/></w:p></w:tc><w:tc><w:tcPr><w:tcW w:w="4600" w:type="pct"/><w:noWrap/></w:tcPr><w:p><w:pPr/></w:p></w:tc><w:tc><w:tcPr><w:tcW w:w="6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quot;Times New Roman&quot;" w:hAnsi="&quot;Times New Roman&quot;" w:eastAsia="&quot;Times New Roman&quot;" w:cs="&quot;Times New Roman&quot;"/><w:sz w:val="16"/><w:szCs w:val="16"/><w:b w:val="1"/><w:bCs w:val="1"/><w:spacing w:val="0"/></w:rPr><w:t xml:space="preserve">Plan Category</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Number of securities to be</w:t></w:r><w:br/><w:r><w:rPr><w:rFonts w:ascii="Times New Roman" w:hAnsi="Times New Roman" w:eastAsia="Times New Roman" w:cs="Times New Roman"/><w:sz w:val="16"/><w:szCs w:val="16"/><w:b w:val="1"/><w:bCs w:val="1"/><w:spacing w:val="0"/></w:rPr><w:t xml:space="preserve">issued upon exercise of</w:t></w:r><w:br/><w:r><w:rPr><w:rFonts w:ascii="Times New Roman" w:hAnsi="Times New Roman" w:eastAsia="Times New Roman" w:cs="Times New Roman"/><w:sz w:val="16"/><w:szCs w:val="16"/><w:b w:val="1"/><w:bCs w:val="1"/><w:spacing w:val="0"/></w:rPr><w:t xml:space="preserve">outstanding options,</w:t></w:r><w:br/><w:r><w:rPr><w:rFonts w:ascii="Times New Roman" w:hAnsi="Times New Roman" w:eastAsia="Times New Roman" w:cs="Times New Roman"/><w:sz w:val="16"/><w:szCs w:val="16"/><w:b w:val="1"/><w:bCs w:val="1"/><w:spacing w:val="0"/></w:rPr><w:t xml:space="preserve">warrants and rights, and</w:t></w:r><w:br/><w:r><w:rPr><w:rFonts w:ascii="Times New Roman" w:hAnsi="Times New Roman" w:eastAsia="Times New Roman" w:cs="Times New Roman"/><w:sz w:val="16"/><w:szCs w:val="16"/><w:b w:val="1"/><w:bCs w:val="1"/><w:spacing w:val="0"/></w:rPr><w:t xml:space="preserve">vesting of outstanding</w:t></w:r><w:br/><w:r><w:rPr><w:rFonts w:ascii="Times New Roman" w:hAnsi="Times New Roman" w:eastAsia="Times New Roman" w:cs="Times New Roman"/><w:sz w:val="16"/><w:szCs w:val="16"/><w:b w:val="1"/><w:bCs w:val="1"/><w:spacing w:val="0"/></w:rPr><w:t xml:space="preserve">restricted stock units</w:t></w:r><w:br/><w:r><w:rPr><w:rFonts w:ascii="Times New Roman" w:hAnsi="Times New Roman" w:eastAsia="Times New Roman" w:cs="Times New Roman"/><w:sz w:val="16"/><w:szCs w:val="16"/><w:b w:val="1"/><w:bCs w:val="1"/><w:spacing w:val="0"/></w:rPr><w:t xml:space="preserve">(a)</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Weighted-average exercise</w:t></w:r><w:br/><w:r><w:rPr><w:rFonts w:ascii="Times New Roman" w:hAnsi="Times New Roman" w:eastAsia="Times New Roman" w:cs="Times New Roman"/><w:sz w:val="16"/><w:szCs w:val="16"/><w:b w:val="1"/><w:bCs w:val="1"/><w:spacing w:val="0"/></w:rPr><w:t xml:space="preserve">price of outstanding options,</w:t></w:r><w:br/><w:r><w:rPr><w:rFonts w:ascii="Times New Roman" w:hAnsi="Times New Roman" w:eastAsia="Times New Roman" w:cs="Times New Roman"/><w:sz w:val="16"/><w:szCs w:val="16"/><w:b w:val="1"/><w:bCs w:val="1"/><w:spacing w:val="0"/></w:rPr><w:t xml:space="preserve">warrants and rights</w:t></w:r><w:br/><w:r><w:rPr><w:rFonts w:ascii="Times New Roman" w:hAnsi="Times New Roman" w:eastAsia="Times New Roman" w:cs="Times New Roman"/><w:sz w:val="16"/><w:szCs w:val="16"/><w:b w:val="1"/><w:bCs w:val="1"/><w:spacing w:val="0"/></w:rPr><w:t xml:space="preserve">(b)</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Number of securities</w:t></w:r><w:br/><w:r><w:rPr><w:rFonts w:ascii="Times New Roman" w:hAnsi="Times New Roman" w:eastAsia="Times New Roman" w:cs="Times New Roman"/><w:sz w:val="16"/><w:szCs w:val="16"/><w:b w:val="1"/><w:bCs w:val="1"/><w:spacing w:val="0"/></w:rPr><w:t xml:space="preserve">remaining available for</w:t></w:r><w:br/><w:r><w:rPr><w:rFonts w:ascii="Times New Roman" w:hAnsi="Times New Roman" w:eastAsia="Times New Roman" w:cs="Times New Roman"/><w:sz w:val="16"/><w:szCs w:val="16"/><w:b w:val="1"/><w:bCs w:val="1"/><w:spacing w:val="0"/></w:rPr><w:t xml:space="preserve">future issuance under equity</w:t></w:r><w:br/><w:r><w:rPr><w:rFonts w:ascii="Times New Roman" w:hAnsi="Times New Roman" w:eastAsia="Times New Roman" w:cs="Times New Roman"/><w:sz w:val="16"/><w:szCs w:val="16"/><w:b w:val="1"/><w:bCs w:val="1"/><w:spacing w:val="0"/></w:rPr><w:t xml:space="preserve">compensation plans</w:t></w:r><w:br/><w:r><w:rPr><w:rFonts w:ascii="Times New Roman" w:hAnsi="Times New Roman" w:eastAsia="Times New Roman" w:cs="Times New Roman"/><w:sz w:val="16"/><w:szCs w:val="16"/><w:b w:val="1"/><w:bCs w:val="1"/><w:spacing w:val="0"/></w:rPr><w:t xml:space="preserve">(excluding securities reflected</w:t></w:r><w:br/><w:r><w:rPr><w:rFonts w:ascii="Times New Roman" w:hAnsi="Times New Roman" w:eastAsia="Times New Roman" w:cs="Times New Roman"/><w:sz w:val="16"/><w:szCs w:val="16"/><w:b w:val="1"/><w:bCs w:val="1"/><w:spacing w:val="0"/></w:rPr><w:t xml:space="preserve">in column (a))</w:t></w:r><w:br/><w:r><w:rPr><w:rFonts w:ascii="Times New Roman" w:hAnsi="Times New Roman" w:eastAsia="Times New Roman" w:cs="Times New Roman"/><w:sz w:val="16"/><w:szCs w:val="16"/><w:b w:val="1"/><w:bCs w:val="1"/><w:spacing w:val="0"/></w:rPr><w:t xml:space="preserve">(c)</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Equity compensation plans approved by security holders: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7,361,840</w:t></w:r></w:p></w:tc><w:tc><w:tcPr><w:tcW w:w="4600" w:type="pct"/><w:vAlign w:val="bottom"/><w:shd w:val="clear" w:fill="CCEEFF"/><w:noWrap/></w:tcPr><w:p><w:pPr/><w:r><w:rPr><w:rFonts w:ascii="Times New Roman" w:hAnsi="Times New Roman" w:eastAsia="Times New Roman" w:cs="Times New Roman"/><w:sz w:val="20"/><w:szCs w:val="20"/><w:shd w:val="clear" w:fill="CCEEFF"/></w:rPr><w:t xml:space="preserve"> (1)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5,644,691 </w:t></w:r></w:p></w:tc><w:tc><w:tcPr><w:tcW w:w="4600" w:type="pct"/><w:vAlign w:val="bottom"/><w:shd w:val="clear" w:fill="CCEEFF"/><w:noWrap/></w:tcPr><w:p><w:pPr/><w:r><w:rPr><w:rFonts w:ascii="Times New Roman" w:hAnsi="Times New Roman" w:eastAsia="Times New Roman" w:cs="Times New Roman"/><w:sz w:val="20"/><w:szCs w:val="20"/><w:shd w:val="clear" w:fill="CCEEFF"/></w:rPr><w:t xml:space="preserve">(2) </w:t></w:r></w:p></w:tc></w:tr><w:tr><w:trPr/><w:tc><w:tcPr><w:tcW w:w="4600" w:type="pct"/><w:vAlign w:val="top"/><w:noWrap/></w:tcPr><w:p><w:pPr/><w:r><w:rPr><w:rFonts w:ascii="&quot;Times New Roman&quot;" w:hAnsi="&quot;Times New Roman&quot;" w:eastAsia="&quot;Times New Roman&quot;" w:cs="&quot;Times New Roman&quot;"/><w:sz w:val="20"/><w:szCs w:val="20"/><w:spacing w:val="0"/></w:rPr><w:t xml:space="preserve">Equity compensation plans not approved by security holders: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7,361,840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5,644,691</w:t></w:r></w:p></w:tc><w:tc><w:tcPr><w:tcW w:w="4600" w:type="pct"/><w:vAlign w:val="bottom"/><w:shd w:val="clear" w:fill="CCEEFF"/><w:noWrap/></w:tcPr><w:p><w:pPr/></w:p></w:tc></w:tr></w:tbl><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shares of our Class A common stock issuable upon exercise of outstanding options and vesting of outstanding restricted stock units issued under the 2018 Plan and the 2003 Plan.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Consists of shares of our Class A common stock reserved for future issuance under the 2018 Plan. </w:t></w:r></w:p></w:tc></w:tr></w:tbl><w:p><w:pPr><w:jc w:val="start"/></w:pPr><w:r><w:rPr><w:sz w:val="36"/><w:szCs w:val="36"/><w:spacing w:val="0"/></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quot;Times New Roman&quot;" w:hAnsi="&quot;Times New Roman&quot;" w:eastAsia="&quot;Times New Roman&quot;" w:cs="&quot;Times New Roman&quot;"/><w:sz w:val="20"/><w:szCs w:val="20"/><w:b w:val="1"/><w:bCs w:val="1"/><w:spacing w:val="0"/></w:rPr><w:t xml:space="preserve">ITEM 13.</w:t></w:r></w:p></w:tc><w:tc><w:tcPr><w:tcW w:w="5000" w:type="pct"/><w:vAlign w:val="top"/><w:noWrap/></w:tcPr><w:p><w:pPr><w:jc w:val="start"/></w:pPr><w:r><w:rPr><w:rFonts w:ascii="&quot;Times New Roman&quot;" w:hAnsi="&quot;Times New Roman&quot;" w:eastAsia="&quot;Times New Roman&quot;" w:cs="&quot;Times New Roman&quot;"/><w:sz w:val="20"/><w:szCs w:val="20"/><w:b w:val="1"/><w:bCs w:val="1"/><w:spacing w:val="0"/></w:rPr><w:t xml:space="preserve">CERTAIN RELATIONSHIPS AND RELATED TRANSACTIONS, AND DIRECTORS INDEPENDENCE </w:t></w:r></w:p></w:tc></w:tr></w:tbl><w:p><w:pPr><w:jc w:val="start"/></w:pPr><w:r><w:rPr><w:rFonts w:ascii="&quot;Times New Roman&quot;" w:hAnsi="&quot;Times New Roman&quot;" w:eastAsia="&quot;Times New Roman&quot;" w:cs="&quot;Times New Roman&quot;"/><w:sz w:val="20"/><w:szCs w:val="20"/><w:b w:val="1"/><w:bCs w:val="1"/><w:spacing w:val="0"/></w:rPr><w:t xml:space="preserve">Policies and Procedures for Related Party Transactions </w:t></w:r></w:p><w:p><w:pPr><w:jc w:val="start"/></w:pPr><w:r><w:rPr><w:rFonts w:ascii="Times New Roman" w:hAnsi="Times New Roman" w:eastAsia="Times New Roman" w:cs="Times New Roman"/><w:sz w:val="20"/><w:szCs w:val="20"/></w:rPr><w:t xml:space="preserve">Our board of directors has adopted a written related person transaction policy setting forth the policies and procedures for the review and approval or ratification of related person transactions. This policy covers, with certain exceptions set forth in Item 404 of </w:t></w:r></w:p><w:p><w:pPr><w:jc w:val="start"/></w:pPr><w:r><w:rPr><w:rFonts w:ascii="Times New Roman" w:hAnsi="Times New Roman" w:eastAsia="Times New Roman" w:cs="Times New Roman"/><w:sz w:val="20"/><w:szCs w:val="20"/><w:spacing w:val="0"/></w:rPr><w:t xml:space="preserve">Regulation S-K</w:t></w:r></w:p><w:p><w:pPr><w:jc w:val="start"/></w:pPr><w:r><w:rPr><w:rFonts w:ascii="Times New Roman" w:hAnsi="Times New Roman" w:eastAsia="Times New Roman" w:cs="Times New Roman"/><w:sz w:val="20"/><w:szCs w:val="20"/></w:rPr><w:t xml:space="preserve"> under the Securities Act and the policy, any transaction, arrangement or relationship, or any series of similar transactions, arrangements or relationships in which we were or are to be a participant, where the amount involved exceeds $120,000 and a related person (including our executive officers, directors and 5% stockholders, as well as specified members of the family or household of any of these individuals or stockholders), had or will have a direct or indirect material interest, including, without limitation, purchases of goods or services by or from the related person or entities in which the related person has a material interest, indebtedness, guarantees of indebtedness and employment by us of a related person. In reviewing and approving any such transactions, our Audit Committee (formerly composed of Mr. Leibowitz, Mr. Mackie and Mr. Tamaroff, and currently composed of Mr. Leibowitz, Dr. Driscoll and Ms. Duraibabu, all independent directors), but only those independent directors who are disinterested, is tasked to consider all relevant facts and circumstances, including, but not limited to, whether the transaction is on terms comparable to those that could be obtained in an arm’s length transaction with an unrelated third party and the extent of the related person’s interest in the transaction. The disclosure below covers related party transactions that have occurred since January 1, 2020.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Agreements with Our Stockholders and Directors </w:t></w:r></w:p><w:p><w:pPr><w:jc w:val="start"/></w:pPr><w:r><w:rPr><w:rFonts w:ascii="&quot;Times New Roman&quot;" w:hAnsi="&quot;Times New Roman&quot;" w:eastAsia="&quot;Times New Roman&quot;" w:cs="&quot;Times New Roman&quot;"/><w:sz w:val="20"/><w:szCs w:val="20"/><w:b w:val="1"/><w:bCs w:val="1"/><w:i w:val="1"/><w:iCs w:val="1"/><w:spacing w:val="0"/></w:rPr><w:t xml:space="preserve">Leases with Significant Stockholder Group </w:t></w:r></w:p><w:p><w:pPr><w:jc w:val="start"/></w:pPr><w:r><w:rPr><w:rFonts w:ascii="&quot;Times New Roman&quot;" w:hAnsi="&quot;Times New Roman&quot;" w:eastAsia="&quot;Times New Roman&quot;" w:cs="&quot;Times New Roman&quot;"/><w:sz w:val="20"/><w:szCs w:val="20"/><w:spacing w:val="0"/></w:rPr><w:t xml:space="preserve">The buildings we occupy in Canton, Massachusetts are owned by entities that are controlled by Alan Ades, Albert Erani, Dennis Erani and Glenn Nussdorf. These entities are: 65 Dan Road SPE, LLC; 65 Dan Road Associates; 85 Dan Road Associates; Dan Road Associates; and 275 Dan Road SPE, LLC. Mr. Ades, Mr. Albert Erani and Mr. Nussdorf are current and former members of our board of directors and greater than 5% stockholders. Mr. Ades and Mr. Albert Erani are first cousins. Together, Mr. Ades, Mr. Albert Erani, Mr. Dennis Erani and Mr. Nussdorf and certain of their respective affiliates, control a significant amount of the voting power of our outstanding Class A common stock. </w:t></w:r></w:p><w:p><w:pPr><w:jc w:val="start"/></w:pPr><w:r><w:rPr><w:rFonts w:ascii="&quot;Times New Roman&quot;" w:hAnsi="&quot;Times New Roman&quot;" w:eastAsia="&quot;Times New Roman&quot;" w:cs="&quot;Times New Roman&quot;"/><w:sz w:val="20"/><w:szCs w:val="20"/><w:spacing w:val="0"/></w:rPr><w:t xml:space="preserve">On January 1, 2013, we entered into a capital lease with 65 Dan Road SPE, LLC related to the facility at 65 Dan Road, Canton, Massachusetts. We made aggregate payments under the lease of $858,800 in each of 2020 and 2021. As of December 31, 2021, we had accrued, unpaid rent of $1,046,060 due under the lease. Under the lease, we were required to make monthly rent payments of approximately $62,000 through December 31, 2018. The monthly rent payments increased by 10% on January 1, 2019 to approximately $69,000 per month and increased by 10% on January 1, 2022 to approximately $75,000 per month. In addition to the monthly rent payments, we are responsible for reimbursing the landlord for taxes and insurance on the property. The original lease term expires on December 31, 2022. In November 2021 we exercised our option to extend the lease term through December 31, 2027. </w:t></w:r></w:p><w:p><w:pPr><w:jc w:val="start"/></w:pPr><w:r><w:rPr><w:rFonts w:ascii="&quot;Times New Roman&quot;" w:hAnsi="&quot;Times New Roman&quot;" w:eastAsia="&quot;Times New Roman&quot;" w:cs="&quot;Times New Roman&quot;"/><w:sz w:val="20"/><w:szCs w:val="20"/><w:spacing w:val="0"/></w:rPr><w:t xml:space="preserve">On January 1, 2013, we entered into a capital lease with 85 Dan Road Associates related to the facility at 85 Dan Road, Canton, Massachusetts. We made aggregate payments under the lease of $1,083,600 in each of 2020 and 2021. As of December 31, 2021, we had accrued, unpaid rent of $2,222,756 due under the lease. Under the lease, we were required to make monthly rent payments of $77,000 through December 31, 2018. The monthly rent payments increased by 10% on January 1, 2019 to approximately $85,000 per month and increased by 10% on January 1, 2022 to approximately $93,000 per month. In addition to the monthly rent payments, we are responsible for reimbursing the landlord for taxes and insurance on the property. The lease term expires on December 31, 2022. In November 2021 we exercised our option to extend the lease term through December 31, 2027. </w:t></w:r></w:p><w:p><w:pPr><w:jc w:val="start"/></w:pPr><w:r><w:rPr><w:rFonts w:ascii="&quot;Times New Roman&quot;" w:hAnsi="&quot;Times New Roman&quot;" w:eastAsia="&quot;Times New Roman&quot;" w:cs="&quot;Times New Roman&quot;"/><w:sz w:val="20"/><w:szCs w:val="20"/><w:spacing w:val="0"/></w:rPr><w:t xml:space="preserve">On January 1, 2013, we entered into a capital lease with Dan Road Equity I, LLC related to the facility at 150 Dan Road, Canton, Massachusetts. We made aggregate payments under the lease of $1,328,060 in each of 2020 and 2021. As of December 31, 2021, we had accrued, unpaid rent of $2,003,909 due under the lease. Under the lease, we were required to make monthly rent payments of approximately $95,000 through December 31, 2018. The monthly rent payments increased by 10% on January 1, 2019 to approximately $105,000 per month and increased by 10% on January 1, 2022 to approximately $115,000 per month. In addition to the monthly rent payments, we are responsible for reimbursing the landlord for taxes and insurance on the property. The lease term expires on December 31, 2022. In November 2021 we exercised our option to extend the lease term through December 31, 2027. </w:t></w:r></w:p><w:p><w:pPr><w:jc w:val="start"/></w:pPr><w:r><w:rPr><w:rFonts w:ascii="Times New Roman" w:hAnsi="Times New Roman" w:eastAsia="Times New Roman" w:cs="Times New Roman"/><w:sz w:val="20"/><w:szCs w:val="20"/></w:rPr><w:t xml:space="preserve">On January 1, 2013, we entered into capital lease arrangements with 275 Dan Road SPE, LLC for the property located on 275 Dan Road, Canton, Massachusetts (“275 Dan Road”). We made aggregate payments under the lease of $1,267,200 and $773,264 in 2020 and 2021, respectively. Under the lease, we were required to make monthly rent payments of approximately $92,000 through December 31, 2018. The monthly rent payments increased by 10% on January 1, 2019 to approximately $101,000 per month. In addition to the monthly rent payments, we were responsible for reimbursing the landlord for taxes and insurance on the property. On August 11, 2021, we purchased the land, building and improvements located at 275 Dan Road from 275 Dan Road SPE, LLC (the “Seller”) for a purchase price of $6 million, which we paid at closing. In connection with the purchase of the property, the 275 Dan Road lease was terminated. The purchase and sale of 275 Dan Road was completed pursuant to a Purchase and Sale Agreement dated as of August 11, 2021 by and between us and the Seller (the “Purchase and Sale Agreement”). Under the Purchase and Sale Agreement, we agreed to pay the Seller deferred rent of $5,062,788 that was owed to the Seller under the 275 Dan Road lease (the “Deferred Rent”) and accrued interest thereon (the “Accrued Interest”), which was equal to $1,053,751 as of June 30, 2021. We paid the </w:t></w:r></w:p><w:p><w:pPr><w:jc w:val="start"/></w:pPr><w:r><w:rPr><w:rFonts w:ascii="Times New Roman" w:hAnsi="Times New Roman" w:eastAsia="Times New Roman" w:cs="Times New Roman"/><w:sz w:val="20"/><w:szCs w:val="20"/><w:spacing w:val="0"/></w:rPr><w:t xml:space="preserve">Seller one-half of</w:t></w:r></w:p><w:p><w:pPr><w:jc w:val="start"/></w:pPr><w:r><w:rPr><w:rFonts w:ascii="Times New Roman" w:hAnsi="Times New Roman" w:eastAsia="Times New Roman" w:cs="Times New Roman"/><w:sz w:val="20"/><w:szCs w:val="20"/></w:rPr><w:t xml:space="preserve"> the Deferred Rent and Accrued Interest in November 2021 and have paid or will pay the remainder in five equal installments with interest on the balance of the Deferred Rent only at an annual simple rate of 4.5% on January 4, 2022, April 1, 2022, July 1, 2022, October 3, 2022 and January 3, 2023. Other than the payment of Deferred Rent and Accrued Interest, we were not required to pay any fees or penalties in connection with the termination of the 275 Dan Road lease. </w:t></w:r></w:p><w:p><w:pPr><w:jc w:val="start"/></w:pPr><w:r><w:rPr><w:rFonts w:ascii="Times New Roman" w:hAnsi="Times New Roman" w:eastAsia="Times New Roman" w:cs="Times New Roman"/><w:sz w:val="20"/><w:szCs w:val="20"/></w:rPr><w:t xml:space="preserve">On August 6, 2019, we entered into a Letter Agreement (the “Letter Agreement”) with Dan Road Associates LLC, 85 Dan Road Associates LLC, 275 Dan Road SPE LLC and 65 Dan Road SPE LLC (collectively, the “Landlords”) pursuant to which we agreed that each Landlord shall be entitled to receive interest on the accrued but unpaid rent obligations under the leases described above as of March 14, 2019, which totaled $10,335,513.47 (the “Lease Debt”) for the period commencing April 1, 2019. The interest on the Lease Debt accrues at a rate per annum equal to the greater of (A) the prime rate plus three and three-quarters of one percent (3.75%) and (B) nine </w:t></w:r></w:p><w:p><w:pPr><w:jc w:val="start"/></w:pPr><w:r><w:rPr><w:rFonts w:ascii="Times New Roman" w:hAnsi="Times New Roman" w:eastAsia="Times New Roman" w:cs="Times New Roman"/><w:sz w:val="20"/><w:szCs w:val="20"/><w:spacing w:val="0"/></w:rPr><w:t xml:space="preserve">and one-quarter of</w:t></w:r></w:p><w:p><w:pPr><w:jc w:val="start"/></w:pPr><w:r><w:rPr><w:rFonts w:ascii="Times New Roman" w:hAnsi="Times New Roman" w:eastAsia="Times New Roman" w:cs="Times New Roman"/><w:sz w:val="20"/><w:szCs w:val="20"/></w:rPr><w:t xml:space="preserve"> one percent (9.25%), which is the rate applicable to the term loans under that certain Credit Agreement dated as of March 14, 2019, as amended, among us, the lenders from time to time party thereto, and Silicon Valley Bank, as administrative agent. Accrued interest on the Lease Debt is payable in cash on the date when the Lease Debt is repaid (as to the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principal amount so repaid) and shall not itself bear interest. As of December 31, 2021, accrued and unpaid interest under the Letter Agreement (exclusive of amounts payable to 275 Dan Road SPE LLC pursuant to the Purchase and Sale Agreement for 275 Dan Road) was equal to $1,340,582. As noted above, pursuant to the Purchase and Sale Agreement for 275 Dan Road, we agreed to pay the Seller the Deferred Rent under the 275 Dan Road lease and the Accrued Interest under the 275 Dan Road lease, which was equal to $1,053,751 as of June 30, 2021. We paid the </w:t></w:r></w:p><w:p><w:pPr><w:jc w:val="start"/></w:pPr><w:r><w:rPr><w:rFonts w:ascii="Times New Roman" w:hAnsi="Times New Roman" w:eastAsia="Times New Roman" w:cs="Times New Roman"/><w:sz w:val="20"/><w:szCs w:val="20"/><w:spacing w:val="0"/></w:rPr><w:t xml:space="preserve">Seller one-half of</w:t></w:r></w:p><w:p><w:pPr><w:jc w:val="start"/></w:pPr><w:r><w:rPr><w:rFonts w:ascii="Times New Roman" w:hAnsi="Times New Roman" w:eastAsia="Times New Roman" w:cs="Times New Roman"/><w:sz w:val="20"/><w:szCs w:val="20"/></w:rPr><w:t xml:space="preserve"> the Deferred Rent and Accrued Interest in November 2021 and have paid or will pay the remainder in five equal installments, with interest accruing on the balance of the Deferred Rent at an annual simple rate of 4.5%, on January 4, 2022, April 1, 2022, July 1, 2022, October 3, 2022 and January 3, 2023. </w:t></w:r></w:p><w:p><w:pPr><w:jc w:val="start"/></w:pPr><w:r><w:rPr><w:rFonts w:ascii="&quot;Times New Roman&quot;" w:hAnsi="&quot;Times New Roman&quot;" w:eastAsia="&quot;Times New Roman&quot;" w:cs="&quot;Times New Roman&quot;"/><w:sz w:val="20"/><w:szCs w:val="20"/><w:b w:val="1"/><w:bCs w:val="1"/><w:spacing w:val="0"/></w:rPr><w:t xml:space="preserve">Amended and Restated Registration Rights Agreement </w:t></w:r></w:p><w:p><w:pPr><w:jc w:val="start"/></w:pPr><w:r><w:rPr><w:rFonts w:ascii="Times New Roman" w:hAnsi="Times New Roman" w:eastAsia="Times New Roman" w:cs="Times New Roman"/><w:sz w:val="20"/><w:szCs w:val="20"/></w:rPr><w:t xml:space="preserve">In connection with the closing of the business combination on December 10, 2018, we and certain of our stockholders (including the Significant Stockholder Group, Avista Capital Partners IV, L.P. and Avista Capital Partners (Offshore) IV, L.P.), certain of our current and former directors (Alan Ades, Albert Erani and Glenn Nussdorf) and all of our executive officers entered into the Amended and Restated Registration Rights Agreement in respect of their shares of our Class A common stock and warrants to purchase shares of our Class A common stock. These stockholders and their permitted transferees will be entitled to certain registration rights described in the Amended and Restated Registration Rights Agreement, including, among other things, customary registration rights, including demand and piggy-back rights, subject to </w:t></w:r></w:p><w:p><w:pPr><w:jc w:val="start"/></w:pPr><w:r><w:rPr><w:rFonts w:ascii="Times New Roman" w:hAnsi="Times New Roman" w:eastAsia="Times New Roman" w:cs="Times New Roman"/><w:sz w:val="20"/><w:szCs w:val="20"/><w:spacing w:val="0"/></w:rPr><w:t xml:space="preserve">cut-back</w:t></w:r></w:p><w:p><w:pPr><w:jc w:val="start"/></w:pPr><w:r><w:rPr><w:rFonts w:ascii="Times New Roman" w:hAnsi="Times New Roman" w:eastAsia="Times New Roman" w:cs="Times New Roman"/><w:sz w:val="20"/><w:szCs w:val="20"/></w:rPr><w:t xml:space="preserve"> provisions. We will bear the expenses incurred in connection with the filing of any such registration statements, other than certain underwriting discounts, selling commissions and expenses related to the sale of shares. </w:t></w:r></w:p><w:p><w:pPr><w:jc w:val="start"/></w:pPr><w:r><w:rPr><w:rFonts w:ascii="&quot;Times New Roman&quot;" w:hAnsi="&quot;Times New Roman&quot;" w:eastAsia="&quot;Times New Roman&quot;" w:cs="&quot;Times New Roman&quot;"/><w:sz w:val="20"/><w:szCs w:val="20"/><w:b w:val="1"/><w:bCs w:val="1"/><w:spacing w:val="0"/></w:rPr><w:t xml:space="preserve">Executive Officer Compensation </w:t></w:r></w:p><w:p><w:pPr><w:jc w:val="start"/></w:pPr><w:r><w:rPr><w:rFonts w:ascii="Times New Roman" w:hAnsi="Times New Roman" w:eastAsia="Times New Roman" w:cs="Times New Roman"/><w:sz w:val="20"/><w:szCs w:val="20"/></w:rPr><w:t xml:space="preserve">See “</w:t></w:r></w:p><w:p><w:pPr><w:jc w:val="start"/></w:pPr><w:r><w:rPr><w:rFonts w:ascii="Times New Roman" w:hAnsi="Times New Roman" w:eastAsia="Times New Roman" w:cs="Times New Roman"/><w:sz w:val="20"/><w:szCs w:val="20"/><w:i w:val="1"/><w:iCs w:val="1"/><w:spacing w:val="0"/></w:rPr><w:t xml:space="preserve">Executive Compensation</w:t></w:r></w:p><w:p><w:pPr><w:jc w:val="start"/></w:pPr><w:r><w:rPr><w:rFonts w:ascii="Times New Roman" w:hAnsi="Times New Roman" w:eastAsia="Times New Roman" w:cs="Times New Roman"/><w:sz w:val="20"/><w:szCs w:val="20"/></w:rPr><w:t xml:space="preserve">” for additional information regarding compensation of our NEOs. </w:t></w:r></w:p><w:p><w:pPr><w:jc w:val="start"/></w:pPr><w:r><w:rPr><w:rFonts w:ascii="&quot;Times New Roman&quot;" w:hAnsi="&quot;Times New Roman&quot;" w:eastAsia="&quot;Times New Roman&quot;" w:cs="&quot;Times New Roman&quot;"/><w:sz w:val="20"/><w:szCs w:val="20"/><w:spacing w:val="0"/></w:rPr><w:t xml:space="preserve">Gary Gillheeney, Jr., our Vice President, Customer Experience, is a child of Gary S. Gillheeney, Sr., our President and Chief Executive Officer, and he received total compensation of (i) $131,938 in fiscal 2020 and (ii) $153,196 in fiscal 2021. James Gillheeney, one of our Senior Tissue Regeneration Specialists, is also a child of Gary S. Gillheeney, Sr. and he received total compensation of (i) $184,092 in fiscal 2020 and (ii) $200,454 in fiscal 2021. </w:t></w:r></w:p><w:p><w:pPr><w:jc w:val="start"/></w:pPr><w:r><w:rPr><w:rFonts w:ascii="&quot;Times New Roman&quot;" w:hAnsi="&quot;Times New Roman&quot;" w:eastAsia="&quot;Times New Roman&quot;" w:cs="&quot;Times New Roman&quot;"/><w:sz w:val="20"/><w:szCs w:val="20"/><w:b w:val="1"/><w:bCs w:val="1"/><w:spacing w:val="0"/></w:rPr><w:t xml:space="preserve">Employment Agreements </w:t></w:r></w:p><w:p><w:pPr><w:jc w:val="start"/></w:pPr><w:r><w:rPr><w:rFonts w:ascii="Times New Roman" w:hAnsi="Times New Roman" w:eastAsia="Times New Roman" w:cs="Times New Roman"/><w:sz w:val="20"/><w:szCs w:val="20"/></w:rPr><w:t xml:space="preserve">We have entered into employment agreements with certain of our NEOs. For more information regarding these agreements, see “</w:t></w:r></w:p><w:p><w:pPr><w:jc w:val="start"/></w:pPr><w:r><w:rPr><w:rFonts w:ascii="Times New Roman" w:hAnsi="Times New Roman" w:eastAsia="Times New Roman" w:cs="Times New Roman"/><w:sz w:val="20"/><w:szCs w:val="20"/><w:i w:val="1"/><w:iCs w:val="1"/><w:spacing w:val="0"/></w:rPr><w:t xml:space="preserve">Executive Compensation.</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b w:val="1"/><w:bCs w:val="1"/><w:spacing w:val="0"/></w:rPr><w:t xml:space="preserve">Indemnification Agreements and Directors’ and Officers’ Liability Insurance </w:t></w:r></w:p><w:p><w:pPr><w:jc w:val="start"/></w:pPr><w:r><w:rPr><w:rFonts w:ascii="&quot;Times New Roman&quot;" w:hAnsi="&quot;Times New Roman&quot;" w:eastAsia="&quot;Times New Roman&quot;" w:cs="&quot;Times New Roman&quot;"/><w:sz w:val="20"/><w:szCs w:val="20"/><w:spacing w:val="0"/></w:rPr><w:t xml:space="preserve">We have entered into indemnification agreements with each of our directors and executive officers. These agreements, among other things, require us to indemnify each director and executive officer to the fullest extent permitted by Delaware law, including indemnification of expenses such as attorneys’ fees, judgments, penalties fines and settlement amounts incurred by the director or executive officer in any action or proceeding, including any action or proceeding by or in right of us, arising out of the person’s services as a director or executive officer.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Avista Fee Letter Agreement </w:t></w:r></w:p><w:p><w:pPr><w:jc w:val="start"/></w:pPr><w:r><w:rPr><w:rFonts w:ascii="&quot;Times New Roman&quot;" w:hAnsi="&quot;Times New Roman&quot;" w:eastAsia="&quot;Times New Roman&quot;" w:cs="&quot;Times New Roman&quot;"/><w:sz w:val="20"/><w:szCs w:val="20"/><w:spacing w:val="0"/></w:rPr><w:t xml:space="preserve">On November 12, 2020, we entered into a fee letter agreement (the “2020 Letter Agreement”) with Avista Capital Partners IV, L.P. (“Avista IV”), Avista Capital Partners (Offshore) IV, L.P. (“Avista IV Offshore” and together with Avista IV, the “Avista Funds”) and Avista Capital Holdings, L.P., an affiliate of the Avista Funds (the “Management Company”), pursuant to which we agreed to pay the Management Company a fee in consideration for certain services rendered in connection with investments in the Company made by the Avista Funds in the Company’s public offering of Class A common stock that closed on November 17, 2020. Pursuant to the 2020 Letter Agreement, the Company was required to pay the Management Company a fee in an amount equal to the portion of the aggregate gross proceeds of the investments sold to the Avista Funds multiplied by a rate equal to the rate of the Underwriters’ discount or spread in such public offering without giving effect to any investments sold to the Avista Funds (the “2020 Fee”). In connection with the public offering, the Avista Funds purchased 4,272,657 shares of Class A common stock and we paid a 2020 Fee equal to approximately $0.8 million. Mr. Tamaroff, one of our former directors, was an employee of the Management Company to which the Company paid the 2020 Fee. </w:t></w:r></w:p><w:p><w:pPr><w:jc w:val="start"/></w:pPr><w:r><w:rPr><w:rFonts w:ascii="&quot;Times New Roman&quot;" w:hAnsi="&quot;Times New Roman&quot;" w:eastAsia="&quot;Times New Roman&quot;" w:cs="&quot;Times New Roman&quot;"/><w:sz w:val="20"/><w:szCs w:val="20"/><w:b w:val="1"/><w:bCs w:val="1"/><w:spacing w:val="0"/></w:rPr><w:t xml:space="preserve">Participation in our November 2020 Public Offering </w:t></w:r></w:p><w:p><w:pPr><w:jc w:val="start"/></w:pPr><w:r><w:rPr><w:rFonts w:ascii="&quot;Times New Roman&quot;" w:hAnsi="&quot;Times New Roman&quot;" w:eastAsia="&quot;Times New Roman&quot;" w:cs="&quot;Times New Roman&quot;"/><w:sz w:val="20"/><w:szCs w:val="20"/><w:spacing w:val="0"/></w:rPr><w:t xml:space="preserve">In addition to the shares of Class A common stock purchased by the Avista Funds described above, certain of our directors, 5% stockholders and their respective affiliates purchased shares of our Class A common stock in our November 2020 public offering at the public offering price. The following table sets forth the number of shares of our Class A common stock purchased by our directors, 5% stockholders and their respective affiliates and the aggregate purchase price paid for such shares. With respect to the shares purchased by the parties in the table below, the underwriters agreed to reimburse us for the discounts and commissions payable with respect to such shares. </w:t></w:r></w:p><w:p><w:pPr><w:jc w:val="start"/></w:pPr><w:r><w:rPr><w:sz w:val="24"/><w:szCs w:val="24"/><w:spacing w:val="0"/></w:rPr><w:t xml:space="preserve"> </w:t></w:r></w:p><w:tbl><w:tblGrid><w:gridCol w:w="3600" w:type="dxa"/><w:gridCol w:w="20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600" w:type="pct"/><w:noWrap/></w:tcPr><w:p><w:pPr/></w:p></w:tc><w:tc><w:tcPr><w:tcW w:w="200" w:type="pct"/><w:vAlign w:val="bottom"/><w:noWrap/></w:tcPr><w:p><w:pPr/></w:p></w:tc><w:tc><w:tcPr><w:tcW w:w="3800" w:type="pct"/><w:noWrap/></w:tcPr><w:p><w:pPr/></w:p></w:tc><w:tc><w:tcPr><w:tcW w:w="3800" w:type="pct"/><w:noWrap/></w:tcPr><w:p><w:pPr/></w:p></w:tc><w:tc><w:tcPr><w:tcW w:w="3800" w:type="pct"/><w:noWrap/></w:tcPr><w:p><w:pPr/></w:p></w:tc><w:tc><w:tcPr><w:tcW w:w="2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Shares of</w:t></w:r><w:br/><w:r><w:rPr><w:rFonts w:ascii="Times New Roman" w:hAnsi="Times New Roman" w:eastAsia="Times New Roman" w:cs="Times New Roman"/><w:sz w:val="16"/><w:szCs w:val="16"/><w:b w:val="1"/><w:bCs w:val="1"/><w:spacing w:val="0"/></w:rPr><w:t xml:space="preserve">Class A</w:t></w:r><w:br/><w:r><w:rPr><w:rFonts w:ascii="Times New Roman" w:hAnsi="Times New Roman" w:eastAsia="Times New Roman" w:cs="Times New Roman"/><w:sz w:val="16"/><w:szCs w:val="16"/><w:b w:val="1"/><w:bCs w:val="1"/><w:spacing w:val="0"/></w:rPr><w:t xml:space="preserve">Common</w:t></w:r><w:br/><w:r><w:rPr><w:rFonts w:ascii="Times New Roman" w:hAnsi="Times New Roman" w:eastAsia="Times New Roman" w:cs="Times New Roman"/><w:sz w:val="16"/><w:szCs w:val="16"/><w:b w:val="1"/><w:bCs w:val="1"/><w:spacing w:val="0"/></w:rPr><w:t xml:space="preserve">Stock</w:t></w:r><w:br/><w:r><w:rPr><w:rFonts w:ascii="Times New Roman" w:hAnsi="Times New Roman" w:eastAsia="Times New Roman" w:cs="Times New Roman"/><w:sz w:val="16"/><w:szCs w:val="16"/><w:b w:val="1"/><w:bCs w:val="1"/><w:spacing w:val="0"/></w:rPr><w:t xml:space="preserve">Purchased</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Aggregate</w:t></w:r><w:br/><w:r><w:rPr><w:rFonts w:ascii="Times New Roman" w:hAnsi="Times New Roman" w:eastAsia="Times New Roman" w:cs="Times New Roman"/><w:sz w:val="16"/><w:szCs w:val="16"/><w:b w:val="1"/><w:bCs w:val="1"/><w:spacing w:val="0"/></w:rPr><w:t xml:space="preserve">Cash</w:t></w:r><w:br/><w:r><w:rPr><w:rFonts w:ascii="Times New Roman" w:hAnsi="Times New Roman" w:eastAsia="Times New Roman" w:cs="Times New Roman"/><w:sz w:val="16"/><w:szCs w:val="16"/><w:b w:val="1"/><w:bCs w:val="1"/><w:spacing w:val="0"/></w:rPr><w:t xml:space="preserve">Purchase</w:t></w:r><w:br/><w:r><w:rPr><w:rFonts w:ascii="Times New Roman" w:hAnsi="Times New Roman" w:eastAsia="Times New Roman" w:cs="Times New Roman"/><w:sz w:val="16"/><w:szCs w:val="16"/><w:b w:val="1"/><w:bCs w:val="1"/><w:spacing w:val="0"/></w:rPr><w:t xml:space="preserve">Price</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Alan Ades(1)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486,000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1,579,500.00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Michael Katz</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20,829</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67,694.25</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Arthur Leibowitz</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6,943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22,564.75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Wayne Mackie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42,726</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138,859.50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Robert Harry Erani Frick Trust(2)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347,153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1,128,247.25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rPr><w:t xml:space="preserve">Includes shares purchased by Mr. Ades as agent for and for the benefit of one of his sons and an entity that is managed by Mr. Ades’ </w:t></w:r><w:r><w:rPr><w:rFonts w:ascii="&quot;Times New Roman&quot;" w:hAnsi="&quot;Times New Roman&quot;" w:eastAsia="&quot;Times New Roman&quot;" w:cs="&quot;Times New Roman&quot;"/><w:sz w:val="20"/><w:szCs w:val="20"/><w:spacing w:val="0"/></w:rPr><w:t xml:space="preserve">son-in-law.</w:t></w:r><w:r><w:rPr><w:rFonts w:ascii="&quot;Times New Roman&quot;" w:hAnsi="&quot;Times New Roman&quot;" w:eastAsia="&quot;Times New Roman&quot;" w:cs="&quot;Times New Roman&quot;"/><w:sz w:val="20"/><w:szCs w:val="20"/></w:rPr><w:t xml:space="preserve">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An affiliate of Dennis Erani, a member of the Significant Stockholder Group. </w:t></w:r></w:p></w:tc></w:tr></w:tbl><w:p><w:pPr><w:jc w:val="start"/></w:pPr><w:r><w:rPr><w:sz w:val="36"/><w:szCs w:val="36"/><w:spacing w:val="0"/></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quot;Times New Roman&quot;" w:hAnsi="&quot;Times New Roman&quot;" w:eastAsia="&quot;Times New Roman&quot;" w:cs="&quot;Times New Roman&quot;"/><w:sz w:val="20"/><w:szCs w:val="20"/><w:b w:val="1"/><w:bCs w:val="1"/><w:spacing w:val="0"/></w:rPr><w:t xml:space="preserve">ITEM 14.</w:t></w:r></w:p></w:tc><w:tc><w:tcPr><w:tcW w:w="5000" w:type="pct"/><w:vAlign w:val="top"/><w:noWrap/></w:tcPr><w:p><w:pPr><w:jc w:val="start"/></w:pPr><w:r><w:rPr><w:rFonts w:ascii="&quot;Times New Roman&quot;" w:hAnsi="&quot;Times New Roman&quot;" w:eastAsia="&quot;Times New Roman&quot;" w:cs="&quot;Times New Roman&quot;"/><w:sz w:val="20"/><w:szCs w:val="20"/><w:b w:val="1"/><w:bCs w:val="1"/><w:spacing w:val="0"/></w:rPr><w:t xml:space="preserve">PRINCIPAL ACCOUNTANT FEES AND SERVICES </w:t></w:r></w:p></w:tc></w:tr></w:tbl><w:p><w:pPr><w:jc w:val="start"/></w:pPr><w:r><w:rPr><w:rFonts w:ascii="&quot;Times New Roman&quot;" w:hAnsi="&quot;Times New Roman&quot;" w:eastAsia="&quot;Times New Roman&quot;" w:cs="&quot;Times New Roman&quot;"/><w:sz w:val="20"/><w:szCs w:val="20"/><w:spacing w:val="0"/></w:rPr><w:t xml:space="preserve">Our Audit Committee engaged RSM US LLP to serve as our independent registered public accounting firm for the fiscal year ended December 31, 2021. RSM US LLP also served as our registered public accounting firm for the fiscal year ended December 31, 2020. </w:t></w:r></w:p><w:p><w:pPr><w:jc w:val="start"/></w:pPr><w:r><w:rPr><w:rFonts w:ascii="&quot;Times New Roman&quot;" w:hAnsi="&quot;Times New Roman&quot;" w:eastAsia="&quot;Times New Roman&quot;" w:cs="&quot;Times New Roman&quot;"/><w:sz w:val="20"/><w:szCs w:val="20"/><w:b w:val="1"/><w:bCs w:val="1"/><w:spacing w:val="0"/></w:rPr><w:t xml:space="preserve">Audit and Other Fees </w:t></w:r></w:p><w:p><w:pPr><w:jc w:val="start"/></w:pPr><w:r><w:rPr><w:rFonts w:ascii="&quot;Times New Roman&quot;" w:hAnsi="&quot;Times New Roman&quot;" w:eastAsia="&quot;Times New Roman&quot;" w:cs="&quot;Times New Roman&quot;"/><w:sz w:val="20"/><w:szCs w:val="20"/><w:spacing w:val="0"/></w:rPr><w:t xml:space="preserve">The following is a summary of the fees for professional services rendered by RSM US LLP, our independent registered public accounting firm, for fiscal years 2020 and 2021. </w:t></w:r></w:p><w:p><w:pPr><w:jc w:val="start"/></w:pPr><w:r><w:rPr><w:sz w:val="24"/><w:szCs w:val="24"/><w:spacing w:val="0"/></w:rPr><w:t xml:space="preserve"> </w:t></w:r></w:p><w:tbl><w:tblGrid><w:gridCol w:w="3750" w:type="dxa"/><w:gridCol w:w="20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750" w:type="pct"/><w:noWrap/></w:tcPr><w:p><w:pPr/></w:p></w:tc><w:tc><w:tcPr><w:tcW w:w="200" w:type="pct"/><w:vAlign w:val="bottom"/><w:noWrap/></w:tcPr><w:p><w:pPr/></w:p></w:tc><w:tc><w:tcPr><w:tcW w:w="3800" w:type="pct"/><w:noWrap/></w:tcPr><w:p><w:pPr/></w:p></w:tc><w:tc><w:tcPr><w:tcW w:w="3800" w:type="pct"/><w:noWrap/></w:tcPr><w:p><w:pPr/></w:p></w:tc><w:tc><w:tcPr><w:tcW w:w="3800" w:type="pct"/><w:noWrap/></w:tcPr><w:p><w:pPr/></w:p></w:tc><w:tc><w:tcPr><w:tcW w:w="2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b w:val="1"/><w:bCs w:val="1"/><w:spacing w:val="0"/></w:rPr><w:t xml:space="preserve">Fee Category</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Fiscal 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Fiscal 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Audit fees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1,134,105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670,425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Audit-related fees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Tax fees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63,000</w:t></w:r></w:p></w:tc><w:tc><w:tcPr><w:tcW w:w="3800" w:type="pct"/><w:vAlign w:val="bottom"/><w:shd w:val="clear" w:fill="CCEEFF"/><w:noWrap/></w:tcPr><w:p><w:pP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All other fees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fees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1,197,105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670,425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b w:val="1"/><w:bCs w:val="1"/><w:i w:val="1"/><w:iCs w:val="1"/></w:rPr><w:t xml:space="preserve">Audit fees</w:t></w:r></w:p><w:p><w:pPr><w:jc w:val="start"/></w:pPr><w:r><w:rPr><w:rFonts w:ascii="Times New Roman" w:hAnsi="Times New Roman" w:eastAsia="Times New Roman" w:cs="Times New Roman"/><w:sz w:val="20"/><w:szCs w:val="20"/></w:rPr><w:t xml:space="preserve">. Audit fees for Fiscal 2021 consist of fees and related expenses for the professional services rendered for the audit of our financial statements, the audit of our internal control over financial reporting, and the review of the interim financial statements included in our quarterly reports on Form 10-Q. Audit fees for Fiscal 2020 consist of fees and related expenses for the professional services rendered for the audit of our financial statements, the review of the interim financial statements included in our quarterly reports on Form 10-Q, and services that are normally provided by our independent registered public accounting firm in connection with statutory and regulatory filings or engagements. </w:t></w:r></w:p><w:p><w:pPr><w:jc w:val="start"/></w:pPr><w:r><w:rPr><w:rFonts w:ascii="Times New Roman" w:hAnsi="Times New Roman" w:eastAsia="Times New Roman" w:cs="Times New Roman"/><w:sz w:val="20"/><w:szCs w:val="20"/><w:b w:val="1"/><w:bCs w:val="1"/><w:i w:val="1"/><w:iCs w:val="1"/></w:rPr><w:t xml:space="preserve">Tax fees</w:t></w:r></w:p><w:p><w:pPr><w:jc w:val="start"/></w:pPr><w:r><w:rPr><w:rFonts w:ascii="Times New Roman" w:hAnsi="Times New Roman" w:eastAsia="Times New Roman" w:cs="Times New Roman"/><w:sz w:val="20"/><w:szCs w:val="20"/></w:rPr><w:t xml:space="preserve">. Tax fees consist of fees billed related to an IRC Section 382 Valuation Analysis provided by our independent registered public accounting firm. </w:t></w:r></w:p><w:p><w:pPr><w:jc w:val="start"/></w:pPr><w:r><w:rPr><w:rFonts w:ascii="Times New Roman" w:hAnsi="Times New Roman" w:eastAsia="Times New Roman" w:cs="Times New Roman"/><w:sz w:val="20"/><w:szCs w:val="20"/><w:b w:val="1"/><w:bCs w:val="1"/></w:rPr><w:t xml:space="preserve">Pre-Approval</w:t></w:r></w:p><w:p><w:pPr><w:jc w:val="start"/></w:pPr><w:r><w:rPr><w:rFonts w:ascii="Times New Roman" w:hAnsi="Times New Roman" w:eastAsia="Times New Roman" w:cs="Times New Roman"/><w:sz w:val="20"/><w:szCs w:val="20"/><w:b w:val="1"/><w:bCs w:val="1"/></w:rPr><w:t xml:space="preserve"> Policies and Procedures </w:t></w:r></w:p><w:p><w:pPr><w:jc w:val="start"/></w:pPr><w:r><w:rPr><w:rFonts w:ascii="Times New Roman" w:hAnsi="Times New Roman" w:eastAsia="Times New Roman" w:cs="Times New Roman"/><w:sz w:val="20"/><w:szCs w:val="20"/></w:rPr><w:t xml:space="preserve">Our audit committee’s </w:t></w:r></w:p><w:p><w:pPr><w:jc w:val="start"/></w:pPr><w:r><w:rPr><w:rFonts w:ascii="Times New Roman" w:hAnsi="Times New Roman" w:eastAsia="Times New Roman" w:cs="Times New Roman"/><w:sz w:val="20"/><w:szCs w:val="20"/></w:rPr><w:t xml:space="preserve">pre-approval</w:t></w:r></w:p><w:p><w:pPr><w:jc w:val="start"/></w:pPr><w:r><w:rPr><w:rFonts w:ascii="Times New Roman" w:hAnsi="Times New Roman" w:eastAsia="Times New Roman" w:cs="Times New Roman"/><w:sz w:val="20"/><w:szCs w:val="20"/></w:rPr><w:t xml:space="preserve"> policies or procedures do not allow our management to engage RSM US LLP to provide any specified services without specific audit committee </w:t></w:r></w:p><w:p><w:pPr><w:jc w:val="start"/></w:pPr><w:r><w:rPr><w:rFonts w:ascii="Times New Roman" w:hAnsi="Times New Roman" w:eastAsia="Times New Roman" w:cs="Times New Roman"/><w:sz w:val="20"/><w:szCs w:val="20"/></w:rPr><w:t xml:space="preserve">pre-approval</w:t></w:r></w:p><w:p><w:pPr><w:jc w:val="start"/></w:pPr><w:r><w:rPr><w:rFonts w:ascii="Times New Roman" w:hAnsi="Times New Roman" w:eastAsia="Times New Roman" w:cs="Times New Roman"/><w:sz w:val="20"/><w:szCs w:val="20"/></w:rPr><w:t xml:space="preserve"> of the engagement for those services. All of the services provided by RSM US LLP during fiscal years 2021 and 2020 were </w:t></w:r></w:p><w:p><w:pPr><w:jc w:val="start"/></w:pPr><w:r><w:rPr><w:rFonts w:ascii="Times New Roman" w:hAnsi="Times New Roman" w:eastAsia="Times New Roman" w:cs="Times New Roman"/><w:sz w:val="20"/><w:szCs w:val="20"/></w:rPr><w:t xml:space="preserve">pre-approved.</w:t></w:r></w:p><w:p><w:pPr><w:jc w:val="start"/></w:pPr><w:r><w:rPr><w:rFonts w:ascii="Times New Roman" w:hAnsi="Times New Roman" w:eastAsia="Times New Roman" w:cs="Times New Roman"/><w:sz w:val="20"/><w:szCs w:val="20"/><w:b w:val="1"/><w:bCs w:val="1"/><w:i w:val="1"/><w:iCs w:val="1"/></w:rPr><w:t xml:space="preserve"> </w:t></w:r></w:p><w:p><w:pPr><w:jc w:val="start"/></w:pPr><w:r><w:rPr><w:rFonts w:ascii="Times New Roman" w:hAnsi="Times New Roman" w:eastAsia="Times New Roman" w:cs="Times New Roman"/><w:sz w:val="20"/><w:szCs w:val="20"/></w:rPr><w:t xml:space="preserve"> </w:t></w:r></w:p><w:p><w:pPr><w:jc w:val="start"/></w:pPr><w:r><w:rPr><w:sz w:val="16"/><w:szCs w:val="16"/></w:rPr><w:t xml:space="preserve"> </w:t></w:r></w:p><w:p><w:pPr><w:jc w:val="center"/></w:pPr><w:r><w:rPr><w:rFonts w:ascii="Times New Roman" w:hAnsi="Times New Roman" w:eastAsia="Times New Roman" w:cs="Times New Roman"/><w:sz w:val="20"/><w:szCs w:val="20"/></w:rPr><w:t xml:space="preserve">16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PART IV </w:t></w:r></w:p><w:p><w:pPr><w:jc w:val="start"/></w:pPr><w:r><w:rPr><w:sz w:val="24"/><w:szCs w:val="24"/><w:spacing w:val="0"/></w:rPr><w:t xml:space="preserve"> </w:t></w:r></w:p><w:tbl><w:tblGrid><w:gridCol w:w="550" w:type="dxa"/><w:gridCol w:w="5000" w:type="dxa"/></w:tblGrid><w:tblPr><w:tblW w:w="5000" w:type="pct"/><w:tblCellSpacing w:w="0" w:type="dxa"/><w:tblLayout w:type="autofit"/></w:tblPr><w:tr><w:trPr/><w:tc><w:tcPr><w:tcW w:w="550" w:type="pct"/><w:vAlign w:val="top"/><w:noWrap/></w:tcPr><w:p><w:pPr><w:jc w:val="start"/></w:pPr><w:r><w:rPr><w:rFonts w:ascii="&quot;Times New Roman&quot;" w:hAnsi="&quot;Times New Roman&quot;" w:eastAsia="&quot;Times New Roman&quot;" w:cs="&quot;Times New Roman&quot;"/><w:sz w:val="20"/><w:szCs w:val="20"/><w:b w:val="1"/><w:bCs w:val="1"/><w:spacing w:val="0"/></w:rPr><w:t xml:space="preserve">ITEM 15.</w:t></w:r></w:p></w:tc><w:tc><w:tcPr><w:tcW w:w="5000" w:type="pct"/><w:vAlign w:val="top"/><w:noWrap/></w:tcPr><w:p><w:pPr><w:jc w:val="start"/></w:pPr><w:r><w:rPr><w:rFonts w:ascii="&quot;Times New Roman&quot;" w:hAnsi="&quot;Times New Roman&quot;" w:eastAsia="&quot;Times New Roman&quot;" w:cs="&quot;Times New Roman&quot;"/><w:sz w:val="20"/><w:szCs w:val="20"/><w:b w:val="1"/><w:bCs w:val="1"/><w:spacing w:val="0"/></w:rPr><w:t xml:space="preserve">EXHIBITS AND FINANCIAL STATEMENT SCHEDULES </w:t></w:r></w:p></w:tc></w:tr></w:tbl><w:p><w:pPr><w:jc w:val="start"/></w:pPr><w:r><w:rPr><w:rFonts w:ascii="&quot;Times New Roman&quot;" w:hAnsi="&quot;Times New Roman&quot;" w:eastAsia="&quot;Times New Roman&quot;" w:cs="&quot;Times New Roman&quot;"/><w:sz w:val="20"/><w:szCs w:val="20"/><w:b w:val="1"/><w:bCs w:val="1"/><w:spacing w:val="0"/></w:rPr><w:t xml:space="preserve">(a) Documents filed as a part of this Report: </w:t></w:r></w:p><w:p><w:pPr><w:jc w:val="start"/></w:pPr><w:r><w:rPr><w:rFonts w:ascii="Times New Roman" w:hAnsi="Times New Roman" w:eastAsia="Times New Roman" w:cs="Times New Roman"/><w:sz w:val="20"/><w:szCs w:val="20"/><w:b w:val="1"/><w:bCs w:val="1"/><w:spacing w:val="0"/></w:rPr><w:t xml:space="preserve">(1) Financial Statements</w:t></w:r></w:p><w:p><w:pPr><w:jc w:val="start"/></w:pPr><w:r><w:rPr><w:rFonts w:ascii="Times New Roman" w:hAnsi="Times New Roman" w:eastAsia="Times New Roman" w:cs="Times New Roman"/><w:sz w:val="20"/><w:szCs w:val="20"/></w:rPr><w:t xml:space="preserve"> —See Index to Consolidated Financial Statements at Item 8 on page 104 of the Original Filing. </w:t></w:r></w:p><w:p><w:pPr><w:jc w:val="start"/></w:pPr><w:r><w:rPr><w:rFonts w:ascii="Times New Roman" w:hAnsi="Times New Roman" w:eastAsia="Times New Roman" w:cs="Times New Roman"/><w:sz w:val="20"/><w:szCs w:val="20"/><w:b w:val="1"/><w:bCs w:val="1"/><w:spacing w:val="0"/></w:rPr><w:t xml:space="preserve">(2) Financial Statement Schedules</w:t></w:r></w:p><w:p><w:pPr><w:jc w:val="start"/></w:pPr><w:r><w:rPr><w:rFonts w:ascii="Times New Roman" w:hAnsi="Times New Roman" w:eastAsia="Times New Roman" w:cs="Times New Roman"/><w:sz w:val="20"/><w:szCs w:val="20"/></w:rPr><w:t xml:space="preserve"> — Schedules are omitted because they are not applicable, or are not required, or because the information is included in the Consolidated Financial Statements and notes thereto.</w:t></w:r></w:p><w:p><w:pPr><w:jc w:val="start"/></w:pPr><w:r><w:rPr><w:rFonts w:ascii="Times New Roman" w:hAnsi="Times New Roman" w:eastAsia="Times New Roman" w:cs="Times New Roman"/><w:sz w:val="20"/><w:szCs w:val="20"/><w:b w:val="1"/><w:bCs w:val="1"/><w:spacing w:val="0"/></w:rPr><w:t xml:space="preserve"> </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spacing w:val="0"/></w:rPr><w:t xml:space="preserve">(3) Index to Exhibits. </w:t></w:r></w:p><w:p><w:pPr><w:jc w:val="start"/></w:pPr><w:r><w:rPr><w:sz w:val="24"/><w:szCs w:val="24"/><w:spacing w:val="0"/></w:rPr><w:t xml:space="preserve"> </w:t></w:r></w:p><w:tbl><w:tblGrid><w:gridCol w:w="5000" w:type="dxa"/><w:gridCol w:w="300" w:type="dxa"/><w:gridCol w:w="4500" w:type="dxa"/></w:tblGrid><w:tblPr><w:tblW w:w="5000" w:type="pct"/><w:tblCellSpacing w:w="0" w:type="dxa"/><w:tblLayout w:type="autofit"/></w:tblPr><w:tr><w:trPr/><w:tc><w:tcPr><w:tcW w:w="5000" w:type="pct"/><w:noWrap/></w:tcPr><w:p><w:pPr/></w:p></w:tc><w:tc><w:tcPr><w:tcW w:w="300" w:type="pct"/><w:vAlign w:val="bottom"/><w:noWrap/></w:tcPr><w:p><w:pPr/></w:p></w:tc><w:tc><w:tcPr><w:tcW w:w="450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 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17" w:history="1"><w:r><w:rPr/><w:t xml:space="preserve">Certificate of Incorporation of ORGO (incorporated by reference to Exhibit 3.1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18" w:history="1"><w:r><w:rPr/><w:t xml:space="preserve">Bylaws of ORGO (incorporated by reference to Exhibit 3.2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4.1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19" w:history="1"><w:r><w:rPr/><w:t xml:space="preserve">Description of Securities registered pursuant to Section 12 of the Securities Exchange Act of 1934 (incorporated by reference to Exhibit 4.1 to the Company’s Annual Report on Form 10-K (File No. 001-37906) filed with the SEC on March 9, 2020)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0" w:history="1"><w:r><w:rPr/><w:t xml:space="preserve">Amended and Restated Registration Rights Agreement dated as of December 10, 2018 among ORGO, Avista Acquisition Corp., Avista Capital Partners Fund IV L.P., Avista Capital Partners Fund IV (Offshore), L.P., and certain holders of Organogenesis Common Stock (incorporated by reference to Exhibit 10.1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1" w:history="1"><w:r><w:rPr/><w:t xml:space="preserve">Lease dated as of January 1, 2013 by and between Organogenesis Inc. and 65 Dan Road SPE, LLC (incorporated by reference to Exhibit 10.4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2" w:history="1"><w:r><w:rPr/><w:t xml:space="preserve">Lease dated as of January 1, 2013 by and between Organogenesis Inc. and 85 Dan Road Associates, LLC (incorporated by reference to Exhibit 10.5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3" w:history="1"><w:r><w:rPr/><w:t xml:space="preserve">Lease dated as of January 1, 2013 by and between Organogenesis Inc. and Dan Road Equity I, LLC (incorporated by reference to Exhibit 10.6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4" w:history="1"><w:r><w:rPr/><w:t xml:space="preserve">Lease Agreement, dated as of June 5, 2012, by and between Organogenesis Switzerland GmbH and Stiftung Regionales Gründerzentrum Reinach, as amended by that certain Supplement No. 1 dated May 9, 2017 and that certain Supplement No. 2 dated May 9, 2017 (incorporated by reference to Exhibit 10.10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5" w:history="1"><w:r><w:rPr/><w:t xml:space="preserve">Lease Agreement, dated as of January 1, 2014, by and between Oxmoor Holdings, LLC and Prime Merger Sub, LLC (as successor-in-interest to Nutech Medical, Inc.) (incorporated by reference to Exhibit 10.11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6" w:history="1"><w:r><w:rPr/><w:t xml:space="preserve">Standard Industrial/Commercial Multi-Tenant Lease—Net, dated as of March 7, 2011, by and among Liberty Industrial Park and Organogenesis Inc., as amended by that certain First Amendment dated as of April, 2013, Second Amendment dated as of April 19, 2015, and Third Amendment dated as of March 9, 2017 (incorporated by reference to Exhibit 10.12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7" w:history="1"><w:r><w:rPr/><w:t xml:space="preserve">Amended and Restated Key Employee Agreement dated as of February 1, 2007 by and between Organogenesis Inc. and Gary Gillheeney (incorporated by reference to Exhibit 10.13 to the Company’s Current Report on Form 8-K (File No. 001-37906) filed with the SEC on December 11, 2018) </w:t></w:r></w:hyperlink></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5000" w:type="dxa"/><w:gridCol w:w="250" w:type="dxa"/><w:gridCol w:w="4500" w:type="dxa"/></w:tblGrid><w:tblPr><w:tblW w:w="5000" w:type="pct"/><w:tblCellSpacing w:w="0" w:type="dxa"/><w:tblLayout w:type="autofit"/></w:tblPr><w:tr><w:trPr/><w:tc><w:tcPr><w:tcW w:w="5000" w:type="pct"/><w:noWrap/></w:tcPr><w:p><w:pPr/></w:p></w:tc><w:tc><w:tcPr><w:tcW w:w="250" w:type="pct"/><w:vAlign w:val="bottom"/><w:noWrap/></w:tcPr><w:p><w:pPr/></w:p></w:tc><w:tc><w:tcPr><w:tcW w:w="450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 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8" w:history="1"><w:r><w:rPr/><w:t xml:space="preserve">Employee Letter Agreement dated as of February 14, 2017 by and between Organogenesis Inc. and Patrick Bilbo (incorporated by reference to Exhibit 10.14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9" w:history="1"><w:r><w:rPr/><w:t xml:space="preserve">Employee Letter Agreement dated as of February 14, 2017 by and between Organogenesis Inc. and Antonio Montecalvo (incorporated by reference to Exhibit 10.16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0" w:history="1"><w:r><w:rPr/><w:t xml:space="preserve">Employee Letter Agreement dated as of January 19, 2018 by and between Organogenesis Inc. and Lori Freedman (incorporated by reference to Exhibit 10.18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1" w:history="1"><w:r><w:rPr/><w:t xml:space="preserve">Employee Letter Agreement dated as of May 9, 2017 by and between Organogenesis Inc. and Brian Grow (incorporated by reference to Exhibit 10.19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2" w:history="1"><w:r><w:rPr/><w:t xml:space="preserve">2003 Stock Incentive Plan, as amended (incorporated by reference to Exhibit 10.27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3" w:history="1"><w:r><w:rPr/><w:t xml:space="preserve">Form of Incentive Stock Option Agreement under the 2003 Stock Incentive Plan (incorporated by reference to Exhibit 10.28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4" w:history="1"><w:r><w:rPr/><w:t xml:space="preserve">Form of Non-Statutory Stock Option Agreement under the 2003 Stock Incentive Plan (incorporated by reference to Exhibit 10.29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5" w:history="1"><w:r><w:rPr/><w:t xml:space="preserve">2018 Equity Incentive Plan (incorporated by reference to Exhibit 10.30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6" w:history="1"><w:r><w:rPr/><w:t xml:space="preserve">Form of Incentive Stock Option Agreement under the 2018 Equity Incentive Plan (incorporated by reference to Exhibit 10.31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7" w:history="1"><w:r><w:rPr/><w:t xml:space="preserve">Form of Non-Statutory Stock Option Agreement under the 2018 Equity Incentive Plan (incorporated by reference to Exhibit 10.32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8" w:history="1"><w:r><w:rPr/><w:t xml:space="preserve">Form of Indemnification Agreement for Directors and Officers (incorporated by reference to Exhibit 10.33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9" w:history="1"><w:r><w:rPr/><w:t xml:space="preserve">Settlement and License Agreement effective as of October 25, 2017 by and among Organogenesis Inc., RESORBA Medical GmbH, and Advanced Medical Solutions Group plc (incorporated by reference to Exhibit 10.5 to the Company’s Registration Statement in Form S-4 (File No. 333-227090) filed with the SEC on October 9,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0" w:history="1"><w:r><w:rPr/><w:t xml:space="preserve">Amended and Restated Code of Ethics and Conduct of ORGO adopted on December 10, 2018 (incorporated by reference to Exhibit 10.35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1" w:history="1"><w:r><w:rPr/><w:t xml:space="preserve">Controlling Stockholders Agreement dated as of December 10, 2018 by and among ORGO and the Controlling Entities (incorporated by reference to Exhibit 10.36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2" w:history="1"><w:r><w:rPr/><w:t xml:space="preserve">Lease dated March 13, 2019 between Organogenesis Inc., as tenant, and Bobson Norwood Commercial, LLC, as landlord (incorporated by reference to Exhibit 10.1 to the Company’s Current Report on Form 8-K (File No. 001-37906) filed with the SEC on March 19, 2019)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3" w:history="1"><w:r><w:rPr/><w:t xml:space="preserve">Form of Indemnity Agreement (incorporated by reference to Exhibit 10.7 to the Company’s Registration Statement on Form S-1 (File No. 333-213465) filed with the SEC on September 2, 2016)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4" w:history="1"><w:r><w:rPr/><w:t xml:space="preserve">Fourth Amendment to Lease dated February 14, 2020 by and between Liberty Industrial Park and Organogenesis Inc. (incorporated by reference to Exhibit 10.41 to the Company’s Annual Report on Form 10-K (File No. 001-37906) filed with the SEC on March 9, 2020) </w:t></w:r></w:hyperlink></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5000" w:type="dxa"/><w:gridCol w:w="300" w:type="dxa"/><w:gridCol w:w="4500" w:type="dxa"/></w:tblGrid><w:tblPr><w:tblW w:w="5000" w:type="pct"/><w:tblCellSpacing w:w="0" w:type="dxa"/><w:tblLayout w:type="autofit"/></w:tblPr><w:tr><w:trPr/><w:tc><w:tcPr><w:tcW w:w="5000" w:type="pct"/><w:noWrap/></w:tcPr><w:p><w:pPr/></w:p></w:tc><w:tc><w:tcPr><w:tcW w:w="300" w:type="pct"/><w:vAlign w:val="bottom"/><w:noWrap/></w:tcPr><w:p><w:pPr/></w:p></w:tc><w:tc><w:tcPr><w:tcW w:w="450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 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5" w:history="1"><w:r><w:rPr/><w:t xml:space="preserve">Second Amendment to Lease dated February 7, 2020 by and between Oxmoor Holdings, LLC and Organogenesis Inc. (incorporated by reference to Exhibit 10.42 to the Company’s Annual Report on Form 10-K (File No. 001-37906) filed with the SEC on March 9, 2020)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6" w:history="1"><w:r><w:rPr/><w:t xml:space="preserve">Summary of Amendment to Severance for Gary S. Gillheeney, Sr. (incorporated by reference to Exhibit 10.43 to the Company’s Annual Report on Form 10-K/A (File No. 001-37906) filed with the SEC on April 29, 2020)</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7" w:history="1"><w:r><w:rPr/><w:t xml:space="preserve">Offer Letter dated January 15, 2021 between the Company and David C. Francisco (incorporated by reference to Exhibit 10.1 to the Company’s Current Report on Form 8-K (File No. 001-37906) filed with the SEC on February 16,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8" w:history="1"><w:r><w:rPr/><w:t xml:space="preserve">Change in Control Retention Agreement between Organogenesis Holdings Inc. and Gary S. Gillheeney, Sr. effective as of May 10, 2021 (incorporated by reference to Exhibit 10.2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10.30‡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9" w:history="1"><w:r><w:rPr/><w:t xml:space="preserve">Form of Change in Control Retention Agreement (Non-CEO Executive Officers) (incorporated by reference to Exhibit 10.3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0" w:history="1"><w:r><w:rPr/><w:t xml:space="preserve">Form of Change in Control Retention Agreement (Independent Directors) (incorporated by reference to Exhibit 10.4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1" w:history="1"><w:r><w:rPr/><w:t xml:space="preserve">Credit Agreement dated and effective as of August 6, 2021 among Organogenesis Holdings Inc., as borrower, Organogenesis Inc. and Prime Merger Sub, LLC, as guarantors, and Silicon Valley Bank, as Administrative Agent, Lead Arranger, Bookrunner, Issuing Lender and Swingline Lender, and Silicon Valley Bank and the several other lenders from time to time party thereto, collectively as Lenders (incorporated by reference to Exhibit 10.1 to the Company’s Current Report on Form 8-K (File No. 001-37906) filed with the SEC on August 9,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10.33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2" w:history="1"><w:r><w:rPr/><w:t xml:space="preserve">Purchase and Sale Agreement dated as of August 11, 2021 by and between Organogenesis Inc. and 275 Dan Road SPE, LLC (incorporated by reference to Exhibit 10.1 to the Company’s Current Report on Form 8-K (File No. 001-37906) filed with the SEC on August 16,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21.1**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3" w:history="1"><w:r><w:rPr/><w:t xml:space="preserve">Subsidiaries of Organogenesis Holdings Inc.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23.1**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4" w:history="1"><w:r><w:rPr/><w:t xml:space="preserve">Consent of RSM US LLP</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5" w:history="1"><w:r><w:rPr/><w:t xml:space="preserve">Certification of the Chief Executive Officer pursuant to Rule 13a-14(a) or 15d-14(a) of the Securities Exchange Act of 1934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6" w:history="1"><w:r><w:rPr/><w:t xml:space="preserve">Certification of Chief Financial Officer pursuant to Rule 13a-14(a) or 15d-14(a) of the Securities Exchange Act of 1934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7" w:history="1"><w:r><w:rPr/><w:t xml:space="preserve">Certification of the Chief Executive Officer and Chief Financial Officer pursuant to 18 U.S.C. Section 1350, as adopted pursuant to Section 906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The following materials from the Annual Report of Organogenesis Holdings Inc. on Form </w:t></w:r><w:r><w:rPr><w:rFonts w:ascii="Times New Roman" w:hAnsi="Times New Roman" w:eastAsia="Times New Roman" w:cs="Times New Roman"/><w:sz w:val="20"/><w:szCs w:val="20"/><w:spacing w:val="0"/></w:rPr><w:t xml:space="preserve">10-K</w:t></w:r><w:r><w:rPr><w:rFonts w:ascii="Times New Roman" w:hAnsi="Times New Roman" w:eastAsia="Times New Roman" w:cs="Times New Roman"/><w:sz w:val="20"/><w:szCs w:val="20"/></w:rPr><w:t xml:space="preserve"> for the year ended December 31, 2021, formatted in XBRL (eXtensible Business Reporting Language): (i) Consolidated Balance Sheets as of December 31, 2021 and December 31, 2020 of Organogenesis Holdings Inc., (ii) Consolidated Statements of Operations for the years ended December 31, 2021, 2020, and 2019 of Organogenesis Holdings Inc., (iii) Consolidated Statements of Redeemable Common Stock and Stockholders’ Equity (Deficit) for the years ended December 31, 2021, 2020, and 2019 of Organogenesis Holdings Inc., (iv) Consolidated Statements of Cash Flows for the years ended December 31, 2021, 2020, and 2019 of Organogenesis Holdings Inc., and (v) Notes to Consolidated Financial Statements of Organogenesis Holdings Inc.</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Cover Page Interactive Data File (embedded within the Inline XBRL document)</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Filed herewith.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Previously filed.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Confidential treatment granted as to portions of this Exhibit. The confidential portions of this Exhibit have been omitted and are marked by asterisks.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Management contract or compensatory plan or arrangement.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SIGNATURES </w:t></w:r></w:p><w:p><w:pPr><w:jc w:val="start"/></w:pPr><w:r><w:rPr><w:rFonts w:ascii="&quot;Times New Roman&quot;" w:hAnsi="&quot;Times New Roman&quot;" w:eastAsia="&quot;Times New Roman&quot;" w:cs="&quot;Times New Roman&quot;"/><w:sz w:val="20"/><w:szCs w:val="20"/><w:spacing w:val="0"/></w:rPr><w:t xml:space="preserve">Pursuant to the requirements of Section 13 or 15(d) of the Securities Exchange Act of 1934, the registrant has duly caused this report to be signed on its behalf by the undersigned thereunto duly authorized. </w:t></w:r></w:p><w:p><w:pPr><w:jc w:val="start"/></w:pPr><w:r><w:rPr><w:sz w:val="24"/><w:szCs w:val="24"/><w:spacing w:val="0"/></w:rPr><w:t xml:space="preserve"> </w:t></w:r></w:p><w:tbl><w:tblGrid><w:gridCol w:w="500" w:type="dxa"/><w:gridCol w:w="50" w:type="dxa"/><w:gridCol w:w="4450" w:type="dxa"/></w:tblGrid><w:tblPr><w:tblW w:w="2000" w:type="pct"/><w:tblCellSpacing w:w="0" w:type="dxa"/><w:tblLayout w:type="autofit"/></w:tblPr><w:tr><w:trPr/><w:tc><w:tcPr><w:tcW w:w="500" w:type="pct"/><w:noWrap/></w:tcPr><w:p><w:pPr/></w:p></w:tc><w:tc><w:tcPr><w:tcW w:w="50" w:type="pct"/><w:vAlign w:val="bottom"/><w:noWrap/></w:tcPr><w:p><w:pPr/></w:p></w:tc><w:tc><w:tcPr><w:tcW w:w="4450" w:type="pct"/><w:noWrap/></w:tcPr><w:p><w:pPr/></w:p></w:tc></w:tr><w:tr><w:trPr/><w:tc><w:tcPr><w:tcW w:w="2000" w:type="pct"/><w:vAlign w:val="top"/><w:gridSpan w:val="3"/><w:noWrap/></w:tcPr><w:p><w:pPr/><w:r><w:rPr><w:rFonts w:ascii="Times New Roman" w:hAnsi="Times New Roman" w:eastAsia="Times New Roman" w:cs="Times New Roman"/><w:sz w:val="20"/><w:szCs w:val="20"/></w:rPr><w:t xml:space="preserve">ORGANOGENESIS HOLDINGS INC.</w:t></w:r></w:p></w:tc></w:tr><w:tr><w:trPr/><w:tc><w:tcPr><w:tcW w:w="2000" w:type="pct"/><w:noWrap/></w:tcPr><w:p><w:pPr/></w:p></w:tc><w:tc><w:tcPr><w:tcW w:w="2000" w:type="pct"/><w:gridSpan w:val="2"/><w:noWrap/></w:tcPr><w:p><w:pPr/></w:p></w:tc></w:tr><w:tr><w:trPr/><w:tc><w:tcPr><w:tcW w:w="2000" w:type="pct"/><w:vAlign w:val="bottom"/><w:noWrap/></w:tcPr><w:p><w:pPr/><w:r><w:rPr><w:rFonts w:ascii="Times New Roman" w:hAnsi="Times New Roman" w:eastAsia="Times New Roman" w:cs="Times New Roman"/><w:sz w:val="20"/><w:szCs w:val="20"/></w:rPr><w:t xml:space="preserve">By:</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quot;Times New Roman&quot;" w:hAnsi="&quot;Times New Roman&quot;" w:eastAsia="&quot;Times New Roman&quot;" w:cs="&quot;Times New Roman&quot;"/><w:sz w:val="20"/><w:szCs w:val="20"/><w:spacing w:val="0"/></w:rPr><w:t xml:space="preserve">/s/ Gary S. Gillheeney, Sr.</w:t></w:r></w:p></w:tc></w:tr><w:tr><w:trPr/><w:tc><w:tcPr><w:tcW w:w="2000" w:type="pct"/><w:vAlign w:val="bottom"/><w:noWrap/></w:tcPr><w:p><w:pP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Times New Roman" w:hAnsi="Times New Roman" w:eastAsia="Times New Roman" w:cs="Times New Roman"/><w:sz w:val="20"/><w:szCs w:val="20"/></w:rPr><w:t xml:space="preserve">Gary S. Gillheeney, Sr.</w:t></w:r></w:p></w:tc></w:tr><w:tr><w:trPr/><w:tc><w:tcPr><w:tcW w:w="2000" w:type="pct"/><w:vAlign w:val="bottom"/><w:noWrap/></w:tcPr><w:p><w:pP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Times New Roman" w:hAnsi="Times New Roman" w:eastAsia="Times New Roman" w:cs="Times New Roman"/><w:sz w:val="20"/><w:szCs w:val="20"/></w:rPr><w:t xml:space="preserve">President and Chief Executive Officer</w:t></w:r></w:p></w:tc></w:tr><w:tr><w:trPr/><w:tc><w:tcPr><w:tcW w:w="2000" w:type="pct"/><w:noWrap/></w:tcPr><w:p><w:pPr/></w:p></w:tc><w:tc><w:tcPr><w:tcW w:w="2000" w:type="pct"/><w:gridSpan w:val="2"/><w:noWrap/></w:tcPr><w:p><w:pPr/></w:p></w:tc></w:tr><w:tr><w:trPr/><w:tc><w:tcPr><w:tcW w:w="2000" w:type="pct"/><w:vAlign w:val="bottom"/><w:noWrap/></w:tcPr><w:p><w:pPr/><w:r><w:rPr><w:rFonts w:ascii="Times New Roman" w:hAnsi="Times New Roman" w:eastAsia="Times New Roman" w:cs="Times New Roman"/><w:sz w:val="20"/><w:szCs w:val="20"/></w:rPr><w:t xml:space="preserve">Date:</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Times New Roman" w:hAnsi="Times New Roman" w:eastAsia="Times New Roman" w:cs="Times New Roman"/><w:sz w:val="20"/><w:szCs w:val="20"/></w:rPr><w:t xml:space="preserve">April 29, 2022</w:t></w:r></w:p></w:tc></w:tr></w:tbl><w:p><w:pPr><w:jc w:val="start"/></w:pPr><w:r><w:rPr><w:sz w:val="36"/><w:szCs w:val="36"/><w:spacing w:val="0"/></w:rPr><w:t xml:space="preserv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20 </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 TargetMode="External"/><Relationship Id="rId8" Type="http://schemas.openxmlformats.org/officeDocument/2006/relationships/hyperlink" Target="toc331465_1" TargetMode="External"/><Relationship Id="rId9" Type="http://schemas.openxmlformats.org/officeDocument/2006/relationships/hyperlink" Target="toc331465_2" TargetMode="External"/><Relationship Id="rId10" Type="http://schemas.openxmlformats.org/officeDocument/2006/relationships/hyperlink" Target="toc331465_3" TargetMode="External"/><Relationship Id="rId11" Type="http://schemas.openxmlformats.org/officeDocument/2006/relationships/hyperlink" Target="toc331465_4" TargetMode="External"/><Relationship Id="rId12" Type="http://schemas.openxmlformats.org/officeDocument/2006/relationships/hyperlink" Target="toc331465_5" TargetMode="External"/><Relationship Id="rId13" Type="http://schemas.openxmlformats.org/officeDocument/2006/relationships/hyperlink" Target="toc331465_6" TargetMode="External"/><Relationship Id="rId14" Type="http://schemas.openxmlformats.org/officeDocument/2006/relationships/hyperlink" Target="toc331465_7" TargetMode="External"/><Relationship Id="rId15" Type="http://schemas.openxmlformats.org/officeDocument/2006/relationships/hyperlink" Target="toc331465_8" TargetMode="External"/><Relationship Id="rId16" Type="http://schemas.openxmlformats.org/officeDocument/2006/relationships/hyperlink" Target="toc331465_9" TargetMode="External"/><Relationship Id="rId17" Type="http://schemas.openxmlformats.org/officeDocument/2006/relationships/hyperlink" Target="http://www.sec.gov/Archives/edgar/data/1661181/000119312519245823/d772464dex31.htm" TargetMode="External"/><Relationship Id="rId18" Type="http://schemas.openxmlformats.org/officeDocument/2006/relationships/hyperlink" Target="http://www.sec.gov/Archives/edgar/data/1661181/000119312519245823/d772464dex32.htm" TargetMode="External"/><Relationship Id="rId19" Type="http://schemas.openxmlformats.org/officeDocument/2006/relationships/hyperlink" Target="http://www.sec.gov/Archives/edgar/data/1661181/000119312520067198/d844864dex41.htm" TargetMode="External"/><Relationship Id="rId20" Type="http://schemas.openxmlformats.org/officeDocument/2006/relationships/hyperlink" Target="http://www.sec.gov/Archives/edgar/data/1661181/000110465918072395/a18-41203_1ex10d1.htm#Exhibit10_1_125757" TargetMode="External"/><Relationship Id="rId21" Type="http://schemas.openxmlformats.org/officeDocument/2006/relationships/hyperlink" Target="http://www.sec.gov/Archives/edgar/data/1661181/000110465918072395/a18-41203_1ex10d4.htm#Exhibit10_4_114137" TargetMode="External"/><Relationship Id="rId22" Type="http://schemas.openxmlformats.org/officeDocument/2006/relationships/hyperlink" Target="http://www.sec.gov/Archives/edgar/data/1661181/000110465918072395/a18-41203_1ex10d5.htm#Exhibit10_5_110132" TargetMode="External"/><Relationship Id="rId23" Type="http://schemas.openxmlformats.org/officeDocument/2006/relationships/hyperlink" Target="http://www.sec.gov/Archives/edgar/data/1661181/000110465918072395/a18-41203_1ex10d6.htm#Exhibit10_6_111010" TargetMode="External"/><Relationship Id="rId24" Type="http://schemas.openxmlformats.org/officeDocument/2006/relationships/hyperlink" Target="http://www.sec.gov/Archives/edgar/data/1661181/000110465918072395/a18-41203_1ex10d10.htm#Exhibit10_10_111625" TargetMode="External"/><Relationship Id="rId25" Type="http://schemas.openxmlformats.org/officeDocument/2006/relationships/hyperlink" Target="http://www.sec.gov/Archives/edgar/data/1661181/000110465918072395/a18-41203_1ex10d11.htm#Exhibit10_11_102646" TargetMode="External"/><Relationship Id="rId26" Type="http://schemas.openxmlformats.org/officeDocument/2006/relationships/hyperlink" Target="http://www.sec.gov/Archives/edgar/data/1661181/000110465918072395/a18-41203_1ex10d12.htm#Exhibit10_12_110904" TargetMode="External"/><Relationship Id="rId27" Type="http://schemas.openxmlformats.org/officeDocument/2006/relationships/hyperlink" Target="http://www.sec.gov/Archives/edgar/data/1661181/000110465918072395/a18-41203_1ex10d13.htm#Exhibit10_13_112651" TargetMode="External"/><Relationship Id="rId28" Type="http://schemas.openxmlformats.org/officeDocument/2006/relationships/hyperlink" Target="http://www.sec.gov/Archives/edgar/data/1661181/000110465918072395/a18-41203_1ex10d14.htm#Exhibit10_14_125433" TargetMode="External"/><Relationship Id="rId29" Type="http://schemas.openxmlformats.org/officeDocument/2006/relationships/hyperlink" Target="http://www.sec.gov/Archives/edgar/data/1661181/000110465918072395/a18-41203_1ex10d16.htm#Exhibit10_16_014649" TargetMode="External"/><Relationship Id="rId30" Type="http://schemas.openxmlformats.org/officeDocument/2006/relationships/hyperlink" Target="http://www.sec.gov/Archives/edgar/data/1661181/000110465918072395/a18-41203_1ex10d18.htm#Exhibit10_18_015043" TargetMode="External"/><Relationship Id="rId31" Type="http://schemas.openxmlformats.org/officeDocument/2006/relationships/hyperlink" Target="http://www.sec.gov/Archives/edgar/data/1661181/000110465918072395/a18-41203_1ex10d19.htm#Exhibit10_19_015358" TargetMode="External"/><Relationship Id="rId32" Type="http://schemas.openxmlformats.org/officeDocument/2006/relationships/hyperlink" Target="http://www.sec.gov/Archives/edgar/data/1661181/000110465918072395/a18-41203_1ex10d27.htm" TargetMode="External"/><Relationship Id="rId33" Type="http://schemas.openxmlformats.org/officeDocument/2006/relationships/hyperlink" Target="http://www.sec.gov/Archives/edgar/data/1661181/000110465918072395/a18-41203_1ex10d28.htm#Exhibit10_28_113303" TargetMode="External"/><Relationship Id="rId34" Type="http://schemas.openxmlformats.org/officeDocument/2006/relationships/hyperlink" Target="http://www.sec.gov/Archives/edgar/data/1661181/000110465918072395/a18-41203_1ex10d29.htm#Exhibit10_29_113944" TargetMode="External"/><Relationship Id="rId35" Type="http://schemas.openxmlformats.org/officeDocument/2006/relationships/hyperlink" Target="http://www.sec.gov/Archives/edgar/data/1661181/000110465918072395/a18-41203_1ex10d30.htm#Exhibit10_30_114733" TargetMode="External"/><Relationship Id="rId36" Type="http://schemas.openxmlformats.org/officeDocument/2006/relationships/hyperlink" Target="http://www.sec.gov/Archives/edgar/data/1661181/000110465918072395/a18-41203_1ex10d31.htm#Exhibit10_31_113353" TargetMode="External"/><Relationship Id="rId37" Type="http://schemas.openxmlformats.org/officeDocument/2006/relationships/hyperlink" Target="http://www.sec.gov/Archives/edgar/data/1661181/000110465918072395/a18-41203_1ex10d32.htm#Exhibit10_32_113656" TargetMode="External"/><Relationship Id="rId38" Type="http://schemas.openxmlformats.org/officeDocument/2006/relationships/hyperlink" Target="http://www.sec.gov/Archives/edgar/data/1661181/000110465918072395/a18-41203_1ex10d33.htm#Exhibit10_33_113855" TargetMode="External"/><Relationship Id="rId39" Type="http://schemas.openxmlformats.org/officeDocument/2006/relationships/hyperlink" Target="http://www.sec.gov/Archives/edgar/data/1661181/000104746918006606/a2236843zex-10_5.htm" TargetMode="External"/><Relationship Id="rId40" Type="http://schemas.openxmlformats.org/officeDocument/2006/relationships/hyperlink" Target="http://www.sec.gov/Archives/edgar/data/1661181/000110465918072395/a18-41203_1ex10d35.htm#Exhibit10_35_124427" TargetMode="External"/><Relationship Id="rId41" Type="http://schemas.openxmlformats.org/officeDocument/2006/relationships/hyperlink" Target="http://www.sec.gov/Archives/edgar/data/1661181/000110465918072395/a18-41203_1ex10d36.htm#Exhibit10_36_011540" TargetMode="External"/><Relationship Id="rId42" Type="http://schemas.openxmlformats.org/officeDocument/2006/relationships/hyperlink" Target="http://www.sec.gov/Archives/edgar/data/1661181/000119312519078641/d728193dex101.htm" TargetMode="External"/><Relationship Id="rId43" Type="http://schemas.openxmlformats.org/officeDocument/2006/relationships/hyperlink" Target="http://www.sec.gov/Archives/edgar/data/1661181/000104746916015230/a2229580zex-10_7.htm" TargetMode="External"/><Relationship Id="rId44" Type="http://schemas.openxmlformats.org/officeDocument/2006/relationships/hyperlink" Target="http://www.sec.gov/Archives/edgar/data/1661181/000119312520067198/d844864dex1041.htm" TargetMode="External"/><Relationship Id="rId45" Type="http://schemas.openxmlformats.org/officeDocument/2006/relationships/hyperlink" Target="http://www.sec.gov/Archives/edgar/data/1661181/000119312520067198/d844864dex1042.htm" TargetMode="External"/><Relationship Id="rId46" Type="http://schemas.openxmlformats.org/officeDocument/2006/relationships/hyperlink" Target="http://www.sec.gov/Archives/edgar/data/1661181/000119312520126225/d907777dex1043.htm" TargetMode="External"/><Relationship Id="rId47" Type="http://schemas.openxmlformats.org/officeDocument/2006/relationships/hyperlink" Target="http://www.sec.gov/Archives/edgar/data/1661181/000119312521045252/d129003dex101.htm" TargetMode="External"/><Relationship Id="rId48" Type="http://schemas.openxmlformats.org/officeDocument/2006/relationships/hyperlink" Target="http://www.sec.gov/Archives/edgar/data/1661181/000119312521156534/d143487dex102.htm" TargetMode="External"/><Relationship Id="rId49" Type="http://schemas.openxmlformats.org/officeDocument/2006/relationships/hyperlink" Target="http://www.sec.gov/Archives/edgar/data/1661181/000119312521156534/d143487dex103.htm" TargetMode="External"/><Relationship Id="rId50" Type="http://schemas.openxmlformats.org/officeDocument/2006/relationships/hyperlink" Target="http://www.sec.gov/Archives/edgar/data/1661181/000119312521156534/d143487dex104.htm" TargetMode="External"/><Relationship Id="rId51" Type="http://schemas.openxmlformats.org/officeDocument/2006/relationships/hyperlink" Target="http://www.sec.gov/Archives/edgar/data/1661181/000119312521240438/d184440dex101.htm" TargetMode="External"/><Relationship Id="rId52" Type="http://schemas.openxmlformats.org/officeDocument/2006/relationships/hyperlink" Target="http://www.sec.gov/Archives/edgar/data/1661181/000119312521247828/d147543dex101.htm" TargetMode="External"/><Relationship Id="rId53" Type="http://schemas.openxmlformats.org/officeDocument/2006/relationships/hyperlink" Target="http://www.sec.gov/Archives/edgar/data/1661181/000119312521082849/d96488dex211.htm" TargetMode="External"/><Relationship Id="rId54" Type="http://schemas.openxmlformats.org/officeDocument/2006/relationships/hyperlink" Target="http://www.sec.gov/Archives/edgar/data/1661181/000119312522061686/d283851dex231.htm" TargetMode="External"/><Relationship Id="rId55" Type="http://schemas.openxmlformats.org/officeDocument/2006/relationships/hyperlink" Target="d331465dex311.htm" TargetMode="External"/><Relationship Id="rId56" Type="http://schemas.openxmlformats.org/officeDocument/2006/relationships/hyperlink" Target="d331465dex312.htm" TargetMode="External"/><Relationship Id="rId57" Type="http://schemas.openxmlformats.org/officeDocument/2006/relationships/hyperlink" Target="http://www.sec.gov/Archives/edgar/data/1661181/000119312522061686/d283851dex3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2026-08-07T07:23:48-04:00</dcterms:created>
  <dcterms:modified xsi:type="dcterms:W3CDTF">2026-08-07T07:23:48-04:00</dcterms:modified>
</cp:coreProperties>
</file>

<file path=docProps/custom.xml><?xml version="1.0" encoding="utf-8"?>
<Properties xmlns="http://schemas.openxmlformats.org/officeDocument/2006/custom-properties" xmlns:vt="http://schemas.openxmlformats.org/officeDocument/2006/docPropsVTypes"/>
</file>