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10-K/A</w:t></w:r></w:p><w:p><w:pPr/><w:r><w:rPr/><w:t xml:space="preserve">1</w:t></w:r></w:p><w:p><w:pPr/><w:r><w:rPr/><w:t xml:space="preserve">f10-ka.htm</w:t></w:r></w:p><w:p><w:pPr/><w:r><w:rPr/><w:t xml:space="preserve">10-K/A</w:t></w:r></w:p><w:p><w:pPr/><w:r><w:rPr/><w:t xml:space="preserve">			ahpau_Current_Folio_10KA		</w:t></w:r></w:p><w:p><w:pPr><w:jc w:val="center"/><w:spacing w:before="0" w:after="0"/></w:pPr><w:r><w:rPr><w:rFonts w:ascii="Times New Roman" w:hAnsi="Times New Roman" w:eastAsia="Times New Roman" w:cs="Times New Roman"/><w:color w:val="000000"/><w:sz w:val="2"/><w:szCs w:val="2"/></w:rPr><w:t xml:space="preserve"> </w:t></w:r></w:p><w:p><w:pPr><w:jc w:val="center"/><w:spacing w:before="0" w:after="0"/></w:pPr><w:r><w:rPr><w:rFonts w:ascii="Times New Roman" w:hAnsi="Times New Roman" w:eastAsia="Times New Roman" w:cs="Times New Roman"/><w:color w:val="000000"/><w:sz w:val="6"/><w:szCs w:val="6"/></w:rPr><w:t xml:space="preserve"> </w:t></w:r></w:p><w:p><w:pPr><w:jc w:val="center"/><w:spacing w:before="0" w:after="0"/></w:pPr><w:r><w:rPr><w:rFonts w:ascii="Times New Roman" w:hAnsi="Times New Roman" w:eastAsia="Times New Roman" w:cs="Times New Roman"/><w:color w:val="000000"/><w:sz w:val="28"/><w:szCs w:val="28"/><w:b w:val="1"/><w:bCs w:val="1"/></w:rPr><w:t xml:space="preserve">UNITED STATES</w:t></w:r></w:p><w:p><w:pPr><w:jc w:val="center"/><w:spacing w:before="0" w:after="0"/></w:pPr><w:r><w:rPr><w:rFonts w:ascii="Times New Roman" w:hAnsi="Times New Roman" w:eastAsia="Times New Roman" w:cs="Times New Roman"/><w:color w:val="000000"/><w:sz w:val="28"/><w:szCs w:val="28"/><w:b w:val="1"/><w:bCs w:val="1"/></w:rPr><w:t xml:space="preserve">SECURITIES AND EXCHANGE COMMISSION</w:t></w:r></w:p><w:p><w:pPr><w:jc w:val="center"/><w:spacing w:before="0" w:after="0"/></w:pPr><w:r><w:rPr><w:rFonts w:ascii="Times New Roman" w:hAnsi="Times New Roman" w:eastAsia="Times New Roman" w:cs="Times New Roman"/><w:color w:val="000000"/><w:sz w:val="16"/><w:szCs w:val="16"/><w:b w:val="1"/><w:bCs w:val="1"/></w:rPr><w:t xml:space="preserve">Washington, D.C. 20549</w:t></w:r></w:p><w:p><w:pPr><w:jc w:val="center"/><w:spacing w:before="120" w:after="120" w:line="240" w:lineRule="auto"/><w:pBdr><w:top w:val="single" w:sz="0"/><w:left w:val="single" w:sz="0"/><w:right w:val="single" w:sz="0"/><w:bottom w:val="single" w:sz="1" w:color="000"/></w:pBdr></w:pPr><w:r><w:rPr><w:color w:val="000"/><w:sz w:val="6"/><w:szCs w:val="6"/><w:shd w:val="clear" w:fill="000"/></w:rPr><w:t xml:space="preserve"></w:t></w:r></w:p><w:p><w:pPr><w:jc w:val="center"/><w:spacing w:before="0" w:after="0"/></w:pPr><w:r><w:rPr><w:rFonts w:ascii="Times New Roman" w:hAnsi="Times New Roman" w:eastAsia="Times New Roman" w:cs="Times New Roman"/><w:color w:val="000000"/><w:sz w:val="28"/><w:szCs w:val="28"/><w:b w:val="1"/><w:bCs w:val="1"/></w:rPr><w:t xml:space="preserve">FORM 10‑K/A</w:t></w:r></w:p><w:p><w:pPr><w:jc w:val="center"/><w:spacing w:before="0" w:after="0"/></w:pPr><w:r><w:rPr><w:rFonts w:ascii="Times New Roman" w:hAnsi="Times New Roman" w:eastAsia="Times New Roman" w:cs="Times New Roman"/><w:color w:val="000000"/><w:sz w:val="20"/><w:szCs w:val="20"/><w:b w:val="1"/><w:bCs w:val="1"/></w:rPr><w:t xml:space="preserve">(Amendment No. 1)</w:t></w:r></w:p><w:p><w:pPr><w:jc w:val="center"/><w:spacing w:before="120" w:after="120" w:line="240" w:lineRule="auto"/><w:pBdr><w:top w:val="single" w:sz="0"/><w:left w:val="single" w:sz="0"/><w:right w:val="single" w:sz="0"/><w:bottom w:val="single" w:sz="1" w:color="000"/></w:pBdr></w:pPr><w:r><w:rPr><w:color w:val="000"/><w:sz w:val="6"/><w:szCs w:val="6"/><w:shd w:val="clear" w:fill="000"/></w:rPr><w:t xml:space="preserve"></w:t></w:r></w:p><w:p><w:pPr><w:jc w:val="center"/><w:spacing w:before="0" w:after="0"/></w:pPr><w:r><w:rPr><w:rFonts w:ascii="Arial" w:hAnsi="Arial" w:eastAsia="Arial" w:cs="Arial"/><w:sz w:val="6"/><w:szCs w:val="6"/></w:rPr><w:t xml:space="preserve"> </w:t></w:r></w:p><w:tbl><w:tblGrid><w:gridCol w:w="700" w:type="dxa"/><w:gridCol w:w="4300" w:type="dxa"/></w:tblGrid><w:tblPr><w:jc w:val="center"/><w:tblW w:w="0" w:type="pct"/><w:tblCellSpacing w:w="0" w:type="dxa"/><w:tblLayout w:type="autofit"/></w:tblPr><w:tr><w:trPr/><w:tc><w:tcPr><w:tcW w:w="700" w:type="pct"/><w:vAlign w:val="top"/><w:noWrap/></w:tcPr><w:p><w:pPr><w:jc w:val="center"/><w:spacing w:before="0" w:after="0"/></w:pPr><w:r><w:rPr><w:rFonts w:ascii="Times New Roman" w:hAnsi="Times New Roman" w:eastAsia="Times New Roman" w:cs="Times New Roman"/><w:sz w:val="2"/><w:szCs w:val="2"/></w:rPr><w:t xml:space="preserve"> </w:t></w:r></w:p></w:tc><w:tc><w:tcPr><w:tcW w:w="4300" w:type="pct"/><w:vAlign w:val="bottom"/><w:noWrap/></w:tcPr><w:p><w:pPr><w:jc w:val="center"/><w:spacing w:before="0" w:after="0"/></w:pPr><w:r><w:rPr><w:rFonts w:ascii="Times New Roman" w:hAnsi="Times New Roman" w:eastAsia="Times New Roman" w:cs="Times New Roman"/><w:sz w:val="2"/><w:szCs w:val="2"/></w:rPr><w:t xml:space="preserve"> </w:t></w:r></w:p></w:tc></w:tr><w:tr><w:trPr/><w:tc><w:tcPr><w:tcW w:w="700" w:type="pct"/><w:vAlign w:val="top"/><w:noWrap/></w:tcPr><w:p><w:pPr><w:jc w:val="center"/><w:spacing w:before="0" w:after="0"/></w:pPr><w:r><w:rPr><w:rFonts w:ascii="Times New Roman" w:hAnsi="Times New Roman" w:eastAsia="Times New Roman" w:cs="Times New Roman"/><w:color w:val="000000"/><w:sz w:val="16"/><w:szCs w:val="16"/><w:b w:val="1"/><w:bCs w:val="1"/></w:rPr><w:t xml:space="preserve">(Mark One)</w:t></w:r></w:p></w:tc><w:tc><w:tcPr><w:tcW w:w="4300" w:type="pct"/><w:vAlign w:val="bottom"/><w:noWrap/></w:tcPr><w:p><w:pPr><w:jc w:val="center"/><w:spacing w:before="0" w:after="0"/></w:pPr><w:r><w:rPr><w:rFonts w:ascii="Times New Roman" w:hAnsi="Times New Roman" w:eastAsia="Times New Roman" w:cs="Times New Roman"/><w:color w:val="000000"/><w:sz w:val="16"/><w:szCs w:val="16"/></w:rPr><w:t xml:space="preserve"> </w:t></w:r></w:p></w:tc></w:tr><w:tr><w:trPr/><w:tc><w:tcPr><w:tcW w:w="700" w:type="pct"/><w:vAlign w:val="top"/><w:noWrap/></w:tcPr><w:p><w:pPr><w:jc w:val="center"/><w:spacing w:before="0" w:after="0"/></w:pPr><w:r><w:rPr><w:rFonts w:ascii="Segoe UI Symbol" w:hAnsi="Segoe UI Symbol" w:eastAsia="Segoe UI Symbol" w:cs="Segoe UI Symbol"/><w:color w:val="000000"/><w:sz w:val="16"/><w:szCs w:val="16"/></w:rPr><w:t xml:space="preserve">☒</w:t></w:r></w:p></w:tc><w:tc><w:tcPr><w:tcW w:w="4300" w:type="pct"/><w:vAlign w:val="top"/><w:noWrap/></w:tcPr><w:p><w:pPr><w:jc w:val="center"/><w:spacing w:before="0" w:after="0"/></w:pPr><w:r><w:rPr><w:rFonts w:ascii="Times New Roman" w:hAnsi="Times New Roman" w:eastAsia="Times New Roman" w:cs="Times New Roman"/><w:color w:val="000000"/><w:sz w:val="16"/><w:szCs w:val="16"/><w:b w:val="1"/><w:bCs w:val="1"/></w:rPr><w:t xml:space="preserve">ANNUAL REPORT PURSUANT TO SECTION 13 OR 15(d) OF THE SECURITIES EXCHANGE ACT OF 1934</w:t></w:r></w:p></w:tc></w:tr><w:tr><w:trPr/><w:tc><w:tcPr><w:tcW w:w="0" w:type="pct"/><w:vAlign w:val="top"/><w:gridSpan w:val="2"/><w:noWrap/></w:tcPr><w:p><w:pPr><w:jc w:val="center"/><w:spacing w:before="0" w:after="0"/></w:pPr><w:r><w:rPr><w:rFonts w:ascii="Times New Roman" w:hAnsi="Times New Roman" w:eastAsia="Times New Roman" w:cs="Times New Roman"/><w:color w:val="000000"/><w:sz w:val="16"/><w:szCs w:val="16"/><w:b w:val="1"/><w:bCs w:val="1"/></w:rPr><w:t xml:space="preserve">For the fiscal year ended December 31, 2017</w:t></w:r></w:p></w:tc></w:tr><w:tr><w:trPr/><w:tc><w:tcPr><w:tcW w:w="0" w:type="pct"/><w:vAlign w:val="top"/><w:gridSpan w:val="2"/><w:noWrap/></w:tcPr><w:p><w:pPr><w:jc w:val="center"/><w:spacing w:before="0" w:after="0"/></w:pPr><w:r><w:rPr><w:rFonts w:ascii="Times New Roman" w:hAnsi="Times New Roman" w:eastAsia="Times New Roman" w:cs="Times New Roman"/><w:color w:val="000000"/><w:sz w:val="16"/><w:szCs w:val="16"/><w:b w:val="1"/><w:bCs w:val="1"/></w:rPr><w:t xml:space="preserve">OR</w:t></w:r></w:p></w:tc></w:tr><w:tr><w:trPr/><w:tc><w:tcPr><w:tcW w:w="700" w:type="pct"/><w:vAlign w:val="top"/><w:noWrap/></w:tcPr><w:p><w:pPr><w:jc w:val="center"/><w:spacing w:before="0" w:after="0"/></w:pPr><w:r><w:rPr><w:rFonts w:ascii="Segoe UI Symbol" w:hAnsi="Segoe UI Symbol" w:eastAsia="Segoe UI Symbol" w:cs="Segoe UI Symbol"/><w:color w:val="000000"/><w:sz w:val="16"/><w:szCs w:val="16"/></w:rPr><w:t xml:space="preserve">☐</w:t></w:r></w:p></w:tc><w:tc><w:tcPr><w:tcW w:w="4300" w:type="pct"/><w:vAlign w:val="top"/><w:noWrap/></w:tcPr><w:p><w:pPr><w:jc w:val="center"/><w:spacing w:before="0" w:after="0"/></w:pPr><w:r><w:rPr><w:rFonts w:ascii="Times New Roman" w:hAnsi="Times New Roman" w:eastAsia="Times New Roman" w:cs="Times New Roman"/><w:color w:val="000000"/><w:sz w:val="16"/><w:szCs w:val="16"/><w:b w:val="1"/><w:bCs w:val="1"/></w:rPr><w:t xml:space="preserve">TRANSITION REPORT PURSUANT TO SECTION 13 OR 15(d) OF THE SECURITIES EXCHANGE ACT OF 1934 FOR THE TRANSITION PERIOD FROM TO</w:t></w:r></w:p></w:tc></w:tr></w:tbl><w:p><w:pPr><w:spacing w:before="0" w:after="0" w:line="60" w:lineRule="exact"/></w:pPr><w:r><w:rPr><w:rFonts w:ascii="Times New Roman" w:hAnsi="Times New Roman" w:eastAsia="Times New Roman" w:cs="Times New Roman"/><w:sz w:val="6"/><w:szCs w:val="6"/></w:rPr><w:t xml:space="preserve"> </w:t></w:r></w:p><w:p><w:pPr><w:jc w:val="center"/><w:spacing w:before="0" w:after="0"/></w:pPr><w:r><w:rPr><w:rFonts w:ascii="Times New Roman" w:hAnsi="Times New Roman" w:eastAsia="Times New Roman" w:cs="Times New Roman"/><w:color w:val="000000"/><w:sz w:val="16"/><w:szCs w:val="16"/><w:b w:val="1"/><w:bCs w:val="1"/></w:rPr><w:t xml:space="preserve">Commission File Number 001‑37906</w:t></w:r></w:p><w:p><w:pPr><w:jc w:val="center"/><w:spacing w:before="120" w:after="120" w:line="240" w:lineRule="auto"/><w:pBdr><w:top w:val="single" w:sz="0"/><w:left w:val="single" w:sz="0"/><w:right w:val="single" w:sz="0"/><w:bottom w:val="single" w:sz="1" w:color="000"/></w:pBdr></w:pPr><w:r><w:rPr><w:color w:val="000"/><w:sz w:val="6"/><w:szCs w:val="6"/><w:shd w:val="clear" w:fill="000"/></w:rPr><w:t xml:space="preserve"></w:t></w:r></w:p><w:p><w:pPr><w:jc w:val="center"/><w:spacing w:before="0" w:after="0"/></w:pPr><w:r><w:rPr><w:rFonts w:ascii="Times New Roman" w:hAnsi="Times New Roman" w:eastAsia="Times New Roman" w:cs="Times New Roman"/><w:color w:val="000000"/><w:sz w:val="28"/><w:szCs w:val="28"/><w:b w:val="1"/><w:bCs w:val="1"/></w:rPr><w:t xml:space="preserve">AVISTA HEALTHCARE PUBLIC ACQUISITION CORP.</w:t></w:r></w:p><w:p><w:pPr><w:jc w:val="center"/><w:spacing w:before="0" w:after="0"/></w:pPr><w:r><w:rPr><w:rFonts w:ascii="Times New Roman" w:hAnsi="Times New Roman" w:eastAsia="Times New Roman" w:cs="Times New Roman"/><w:color w:val="000000"/><w:sz w:val="16"/><w:szCs w:val="16"/></w:rPr><w:t xml:space="preserve">(Exact name of Registrant as specified in its Charter)</w:t></w:r></w:p><w:p><w:pPr><w:jc w:val="center"/><w:spacing w:before="120" w:after="120" w:line="240" w:lineRule="auto"/><w:pBdr><w:top w:val="single" w:sz="0"/><w:left w:val="single" w:sz="0"/><w:right w:val="single" w:sz="0"/><w:bottom w:val="single" w:sz="1" w:color="000"/></w:pBdr></w:pPr><w:r><w:rPr><w:color w:val="000"/><w:sz w:val="6"/><w:szCs w:val="6"/><w:shd w:val="clear" w:fill="000"/></w:rPr><w:t xml:space="preserve"></w:t></w:r></w:p><w:p><w:pPr><w:spacing w:before="0" w:after="0"/></w:pPr><w:r><w:rPr><w:rFonts w:ascii="Arial" w:hAnsi="Arial" w:eastAsia="Arial" w:cs="Arial"/><w:sz w:val="6"/><w:szCs w:val="6"/></w:rPr><w:t xml:space="preserve"> </w:t></w:r></w:p><w:tbl><w:tblGrid><w:gridCol w:w="0" w:type="dxa"/><w:gridCol w:w="0" w:type="dxa"/></w:tblGrid><w:tblPr><w:jc w:val="center"/><w:tblW w:w="0" w:type="pct"/><w:tblCellSpacing w:w="0" w:type="dxa"/><w:tblLayout w:type="autofit"/></w:tblPr><w:tr><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Cayman Islands</w:t></w:r><w:br/><w:r><w:rPr><w:rFonts w:ascii="Times New Roman" w:hAnsi="Times New Roman" w:eastAsia="Times New Roman" w:cs="Times New Roman"/><w:color w:val="000000"/><w:sz w:val="16"/><w:szCs w:val="16"/></w:rPr><w:t xml:space="preserve">(State or other jurisdiction of</w:t></w:r><w:br/><w:r><w:rPr><w:rFonts w:ascii="Times New Roman" w:hAnsi="Times New Roman" w:eastAsia="Times New Roman" w:cs="Times New Roman"/><w:color w:val="000000"/><w:sz w:val="16"/><w:szCs w:val="16"/></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98‑1329150</w:t></w:r><w:br/><w:r><w:rPr><w:rFonts w:ascii="Times New Roman" w:hAnsi="Times New Roman" w:eastAsia="Times New Roman" w:cs="Times New Roman"/><w:color w:val="000000"/><w:sz w:val="16"/><w:szCs w:val="16"/></w:rPr><w:t xml:space="preserve">(I.R.S. Employer</w:t></w:r><w:br/><w:r><w:rPr><w:rFonts w:ascii="Times New Roman" w:hAnsi="Times New Roman" w:eastAsia="Times New Roman" w:cs="Times New Roman"/><w:color w:val="000000"/><w:sz w:val="16"/><w:szCs w:val="16"/></w:rPr><w:t xml:space="preserve">Identification No.)</w:t></w:r></w:p></w:tc></w:tr><w:tr><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65 East 55th Street</w:t></w:r><w:br/><w:r><w:rPr><w:rFonts w:ascii="Times New Roman" w:hAnsi="Times New Roman" w:eastAsia="Times New Roman" w:cs="Times New Roman"/><w:color w:val="000000"/><w:sz w:val="16"/><w:szCs w:val="16"/><w:b w:val="1"/><w:bCs w:val="1"/></w:rPr><w:t xml:space="preserve">18th Floor</w:t></w:r><w:br/><w:r><w:rPr><w:rFonts w:ascii="Times New Roman" w:hAnsi="Times New Roman" w:eastAsia="Times New Roman" w:cs="Times New Roman"/><w:color w:val="000000"/><w:sz w:val="16"/><w:szCs w:val="16"/><w:b w:val="1"/><w:bCs w:val="1"/></w:rPr><w:t xml:space="preserve">New York, New York</w:t></w:r><w:br/><w:r><w:rPr><w:rFonts w:ascii="Times New Roman" w:hAnsi="Times New Roman" w:eastAsia="Times New Roman" w:cs="Times New Roman"/><w:color w:val="000000"/><w:sz w:val="16"/><w:szCs w:val="16"/></w:rPr><w:t xml:space="preserve">(Address of principal executive offices)</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10022</w:t></w:r><w:br/><w:r><w:rPr><w:rFonts w:ascii="Times New Roman" w:hAnsi="Times New Roman" w:eastAsia="Times New Roman" w:cs="Times New Roman"/><w:color w:val="000000"/><w:sz w:val="16"/><w:szCs w:val="16"/></w:rPr><w:t xml:space="preserve">(Zip Code)</w:t></w:r></w:p></w:tc></w:tr></w:tbl><w:p><w:pPr><w:spacing w:before="0" w:after="0"/></w:pPr><w:r><w:rPr><w:rFonts w:ascii="Arial" w:hAnsi="Arial" w:eastAsia="Arial" w:cs="Arial"/><w:sz w:val="6"/><w:szCs w:val="6"/></w:rPr><w:t xml:space="preserve"> </w:t></w:r></w:p><w:p><w:pPr><w:jc w:val="center"/><w:spacing w:before="0" w:after="0"/></w:pPr><w:r><w:rPr><w:rFonts w:ascii="Times New Roman" w:hAnsi="Times New Roman" w:eastAsia="Times New Roman" w:cs="Times New Roman"/><w:color w:val="000000"/><w:sz w:val="16"/><w:szCs w:val="16"/></w:rPr><w:t xml:space="preserve">Registrant’s telephone number, including area code: </w:t></w:r><w:r><w:rPr><w:rFonts w:ascii="Times New Roman" w:hAnsi="Times New Roman" w:eastAsia="Times New Roman" w:cs="Times New Roman"/><w:color w:val="000000"/><w:sz w:val="16"/><w:szCs w:val="16"/><w:b w:val="1"/><w:bCs w:val="1"/></w:rPr><w:t xml:space="preserve">(212) 593‑6900</w:t></w:r></w:p><w:p><w:pPr><w:ind w:left="0" w:right="0" w:firstLine="720" w:hanging="0"/><w:spacing w:before="0" w:after="0"/></w:pPr><w:r><w:rPr><w:rFonts w:ascii="Times New Roman" w:hAnsi="Times New Roman" w:eastAsia="Times New Roman" w:cs="Times New Roman"/><w:color w:val="000000"/><w:sz w:val="16"/><w:szCs w:val="16"/></w:rPr><w:t xml:space="preserve">Securities registered pursuant to Section 12(b) of the Act:</w:t></w:r></w:p><w:p><w:pPr><w:spacing w:before="0" w:after="0"/></w:pPr><w:r><w:rPr><w:rFonts w:ascii="Arial" w:hAnsi="Arial" w:eastAsia="Arial" w:cs="Arial"/><w:sz w:val="6"/><w:szCs w:val="6"/></w:rPr><w:t xml:space="preserve"> </w:t></w:r></w:p><w:tbl><w:tblGrid><w:gridCol w:w="4000" w:type="dxa"/><w:gridCol w:w="2100" w:type="dxa"/><w:gridCol w:w="4000" w:type="dxa"/></w:tblGrid><w:tblPr><w:jc w:val="center"/><w:tblW w:w="0" w:type="pct"/><w:tblCellSpacing w:w="0" w:type="dxa"/><w:tblLayout w:type="autofit"/></w:tblPr><w:tr><w:trPr/><w:tc><w:tcPr><w:tcW w:w="4000" w:type="pct"/><w:vAlign w:val="bottom"/><w:noWrap/></w:tcPr><w:p><w:pPr><w:jc w:val="center"/><w:spacing w:before="0" w:after="0"/></w:pPr><w:r><w:rPr><w:rFonts w:ascii="Times New Roman" w:hAnsi="Times New Roman" w:eastAsia="Times New Roman" w:cs="Times New Roman"/><w:sz w:val="2"/><w:szCs w:val="2"/></w:rPr><w:t xml:space="preserve"> </w:t></w:r></w:p></w:tc><w:tc><w:tcPr><w:tcW w:w="2100" w:type="pct"/><w:vAlign w:val="top"/><w:noWrap/></w:tcPr><w:p><w:pPr><w:jc w:val="center"/><w:spacing w:before="0" w:after="0"/></w:pPr><w:r><w:rPr><w:rFonts w:ascii="Times New Roman" w:hAnsi="Times New Roman" w:eastAsia="Times New Roman" w:cs="Times New Roman"/><w:sz w:val="2"/><w:szCs w:val="2"/></w:rPr><w:t xml:space="preserve"> </w:t></w:r></w:p></w:tc><w:tc><w:tcPr><w:tcW w:w="4000" w:type="pct"/><w:vAlign w:val="bottom"/><w:noWrap/></w:tcPr><w:p><w:pPr><w:jc w:val="center"/><w:spacing w:before="0" w:after="0"/></w:pPr><w:r><w:rPr><w:rFonts w:ascii="Times New Roman" w:hAnsi="Times New Roman" w:eastAsia="Times New Roman" w:cs="Times New Roman"/><w:sz w:val="2"/><w:szCs w:val="2"/></w:rPr><w:t xml:space="preserve"> </w:t></w:r></w:p></w:tc></w:tr><w:tr><w:trPr/><w:tc><w:tcPr><w:tcW w:w="400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2100" w:type="pct"/><w:vAlign w:val="top"/><w:noWrap/></w:tcPr><w:p><w:pPr><w:jc w:val="center"/><w:spacing w:before="0" w:after="0"/></w:pPr><w:r><w:rPr><w:rFonts w:ascii="Times New Roman" w:hAnsi="Times New Roman" w:eastAsia="Times New Roman" w:cs="Times New Roman"/><w:color w:val="000000"/><w:sz w:val="16"/><w:szCs w:val="16"/></w:rPr><w:t xml:space="preserve">    </w:t></w:r></w:p></w:tc><w:tc><w:tcPr><w:tcW w:w="400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c><w:tcPr><w:tcW w:w="4000" w:type="pct"/><w:vAlign w:val="top"/><w:noWrap/></w:tcPr><w:p><w:pPr><w:jc w:val="center"/><w:spacing w:before="0" w:after="0"/></w:pPr><w:r><w:rPr><w:rFonts w:ascii="Times New Roman" w:hAnsi="Times New Roman" w:eastAsia="Times New Roman" w:cs="Times New Roman"/><w:color w:val="000000"/><w:sz w:val="16"/><w:szCs w:val="16"/></w:rPr><w:t xml:space="preserve">Units, each consisting of one Class A ordinary share,</w:t></w:r><w:br/><w:r><w:rPr><w:rFonts w:ascii="Times New Roman" w:hAnsi="Times New Roman" w:eastAsia="Times New Roman" w:cs="Times New Roman"/><w:color w:val="000000"/><w:sz w:val="16"/><w:szCs w:val="16"/></w:rPr><w:t xml:space="preserve">$0.0001 par value, and one Warrant to purchase one half of</w:t></w:r><w:br/><w:r><w:rPr><w:rFonts w:ascii="Times New Roman" w:hAnsi="Times New Roman" w:eastAsia="Times New Roman" w:cs="Times New Roman"/><w:color w:val="000000"/><w:sz w:val="16"/><w:szCs w:val="16"/></w:rPr><w:t xml:space="preserve">one Class A ordinary share</w:t></w:r></w:p></w:tc><w:tc><w:tcPr><w:tcW w:w="2100" w:type="pct"/><w:vAlign w:val="top"/><w:noWrap/></w:tcPr><w:p><w:pPr><w:jc w:val="center"/><w:spacing w:before="0" w:after="0"/></w:pPr><w:r><w:rPr><w:rFonts w:ascii="Times New Roman" w:hAnsi="Times New Roman" w:eastAsia="Times New Roman" w:cs="Times New Roman"/><w:color w:val="000000"/><w:sz w:val="16"/><w:szCs w:val="16"/></w:rPr><w:t xml:space="preserve"> </w:t></w:r></w:p></w:tc><w:tc><w:tcPr><w:tcW w:w="4000" w:type="pct"/><w:vAlign w:val="top"/><w:noWrap/></w:tcPr><w:p><w:pPr><w:jc w:val="center"/><w:spacing w:before="0" w:after="0"/></w:pPr><w:r><w:rPr><w:rFonts w:ascii="Times New Roman" w:hAnsi="Times New Roman" w:eastAsia="Times New Roman" w:cs="Times New Roman"/><w:color w:val="000000"/><w:sz w:val="16"/><w:szCs w:val="16"/></w:rPr><w:t xml:space="preserve">NASDAQ Capital Market</w:t></w:r></w:p></w:tc></w:tr><w:tr><w:trPr/><w:tc><w:tcPr><w:tcW w:w="4000" w:type="pct"/><w:vAlign w:val="top"/><w:noWrap/></w:tcPr><w:p><w:pPr><w:jc w:val="center"/><w:spacing w:before="0" w:after="0"/></w:pPr><w:r><w:rPr><w:rFonts w:ascii="Times New Roman" w:hAnsi="Times New Roman" w:eastAsia="Times New Roman" w:cs="Times New Roman"/><w:color w:val="000000"/><w:sz w:val="16"/><w:szCs w:val="16"/></w:rPr><w:t xml:space="preserve">Class A ordinary shares, par value $0.0001 per share</w:t></w:r></w:p></w:tc><w:tc><w:tcPr><w:tcW w:w="2100" w:type="pct"/><w:vAlign w:val="top"/><w:noWrap/></w:tcPr><w:p><w:pPr><w:jc w:val="center"/><w:spacing w:before="0" w:after="0"/></w:pPr><w:r><w:rPr><w:rFonts w:ascii="Times New Roman" w:hAnsi="Times New Roman" w:eastAsia="Times New Roman" w:cs="Times New Roman"/><w:color w:val="000000"/><w:sz w:val="16"/><w:szCs w:val="16"/></w:rPr><w:t xml:space="preserve"> </w:t></w:r></w:p></w:tc><w:tc><w:tcPr><w:tcW w:w="4000" w:type="pct"/><w:vAlign w:val="top"/><w:noWrap/></w:tcPr><w:p><w:pPr><w:jc w:val="center"/><w:spacing w:before="0" w:after="0"/></w:pPr><w:r><w:rPr><w:rFonts w:ascii="Times New Roman" w:hAnsi="Times New Roman" w:eastAsia="Times New Roman" w:cs="Times New Roman"/><w:color w:val="000000"/><w:sz w:val="16"/><w:szCs w:val="16"/></w:rPr><w:t xml:space="preserve">NASDAQ Capital Market</w:t></w:r></w:p></w:tc></w:tr><w:tr><w:trPr/><w:tc><w:tcPr><w:tcW w:w="4000" w:type="pct"/><w:vAlign w:val="top"/><w:noWrap/></w:tcPr><w:p><w:pPr><w:jc w:val="center"/><w:spacing w:before="0" w:after="0"/></w:pPr><w:r><w:rPr><w:rFonts w:ascii="Times New Roman" w:hAnsi="Times New Roman" w:eastAsia="Times New Roman" w:cs="Times New Roman"/><w:color w:val="000000"/><w:sz w:val="16"/><w:szCs w:val="16"/></w:rPr><w:t xml:space="preserve">Warrants to purchase Class A ordinary shares</w:t></w:r></w:p></w:tc><w:tc><w:tcPr><w:tcW w:w="2100" w:type="pct"/><w:vAlign w:val="top"/><w:noWrap/></w:tcPr><w:p><w:pPr><w:jc w:val="center"/><w:spacing w:before="0" w:after="0"/></w:pPr><w:r><w:rPr><w:rFonts w:ascii="Times New Roman" w:hAnsi="Times New Roman" w:eastAsia="Times New Roman" w:cs="Times New Roman"/><w:color w:val="000000"/><w:sz w:val="16"/><w:szCs w:val="16"/></w:rPr><w:t xml:space="preserve"> </w:t></w:r></w:p></w:tc><w:tc><w:tcPr><w:tcW w:w="4000" w:type="pct"/><w:vAlign w:val="top"/><w:noWrap/></w:tcPr><w:p><w:pPr><w:jc w:val="center"/><w:spacing w:before="0" w:after="0"/></w:pPr><w:r><w:rPr><w:rFonts w:ascii="Times New Roman" w:hAnsi="Times New Roman" w:eastAsia="Times New Roman" w:cs="Times New Roman"/><w:color w:val="000000"/><w:sz w:val="16"/><w:szCs w:val="16"/></w:rPr><w:t xml:space="preserve">NASDAQ Capital Market</w:t></w:r></w:p></w:tc></w:tr></w:tbl><w:p><w:pPr><w:spacing w:before="0" w:after="0"/></w:pPr><w:r><w:rPr><w:rFonts w:ascii="Times New Roman" w:hAnsi="Times New Roman" w:eastAsia="Times New Roman" w:cs="Times New Roman"/><w:sz w:val="6"/><w:szCs w:val="6"/></w:rPr><w:t xml:space="preserve"> </w:t></w:r></w:p><w:p><w:pPr><w:ind w:left="0" w:right="0" w:firstLine="720" w:hanging="0"/><w:spacing w:before="0" w:after="0"/></w:pPr><w:r><w:rPr><w:rFonts w:ascii="Times New Roman" w:hAnsi="Times New Roman" w:eastAsia="Times New Roman" w:cs="Times New Roman"/><w:color w:val="000000"/><w:sz w:val="16"/><w:szCs w:val="16"/></w:rPr><w:t xml:space="preserve">Securities registered pursuant to Section 12(g) of the Act:</w:t></w:r></w:p><w:p><w:pPr><w:ind w:left="0" w:right="0" w:firstLine="720" w:hanging="0"/><w:spacing w:before="0" w:after="0"/></w:pPr><w:r><w:rPr><w:rFonts w:ascii="Times New Roman" w:hAnsi="Times New Roman" w:eastAsia="Times New Roman" w:cs="Times New Roman"/><w:color w:val="000000"/><w:sz w:val="16"/><w:szCs w:val="16"/><w:b w:val="1"/><w:bCs w:val="1"/></w:rPr><w:t xml:space="preserve">None</w:t></w:r></w:p><w:p><w:pPr><w:ind w:left="0" w:right="0" w:firstLine="720" w:hanging="0"/><w:spacing w:before="0" w:after="0"/></w:pPr><w:r><w:rPr><w:rFonts w:ascii="Times New Roman" w:hAnsi="Times New Roman" w:eastAsia="Times New Roman" w:cs="Times New Roman"/><w:color w:val="000000"/><w:sz w:val="16"/><w:szCs w:val="16"/></w:rPr><w:t xml:space="preserve">Indicate by check mark if the Registrant is a well‑known seasoned issuer, as defined in Rule 405 of the Securities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if the Registrant is not required to file reports pursuant to Section 13 or 15(d) of the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whether the Registrant has submitted electronically and posted on its corporate Web site, if any, every Interactive Data File required to be submitted and posted pursuant to Rule 405 of Regulation S‑T (§232.405 of this chapter) during the preceding 12 months (or for such shorter period that the Registrant was required to submit and post such files).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if disclosure of delinquent filers pursuant to Item 405 of Regulation S‑K (§229.405) is not contained herein, and will not be contained, to the best of Registrant’s knowledge, in definitive proxy or information statements incorporated by reference in Part III of this Form 10‑K or any amendment to this Form 10‑K.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(Check one):</w:t></w:r></w:p><w:p><w:pPr><w:spacing w:before="0" w:after="0"/></w:pPr><w:r><w:rPr><w:rFonts w:ascii="Arial" w:hAnsi="Arial" w:eastAsia="Arial" w:cs="Arial"/><w:sz w:val="6"/><w:szCs w:val="6"/></w:rPr><w:t xml:space="preserve"> </w:t></w:r></w:p><w:tbl><w:tblGrid><w:gridCol w:w="3000" w:type="dxa"/><w:gridCol w:w="4100" w:type="dxa"/><w:gridCol w:w="400" w:type="dxa"/><w:gridCol w:w="2500" w:type="dxa"/></w:tblGrid><w:tblPr><w:jc w:val="center"/><w:tblW w:w="0" w:type="pct"/><w:tblCellSpacing w:w="0" w:type="dxa"/><w:tblLayout w:type="autofit"/></w:tblPr><w:tr><w:trPr/><w:tc><w:tcPr><w:tcW w:w="3000" w:type="pct"/><w:vAlign w:val="top"/><w:noWrap/></w:tcPr><w:p><w:pPr><w:jc w:val="center"/><w:spacing w:before="0" w:after="0"/></w:pPr><w:r><w:rPr><w:rFonts w:ascii="Times New Roman" w:hAnsi="Times New Roman" w:eastAsia="Times New Roman" w:cs="Times New Roman"/><w:sz w:val="2"/><w:szCs w:val="2"/></w:rPr><w:t xml:space="preserve"> </w:t></w:r></w:p></w:tc><w:tc><w:tcPr><w:tcW w:w="4100" w:type="pct"/><w:vAlign w:val="top"/><w:noWrap/></w:tcPr><w:p><w:pPr><w:jc w:val="center"/><w:spacing w:before="0" w:after="0"/></w:pPr><w:r><w:rPr><w:rFonts w:ascii="Times New Roman" w:hAnsi="Times New Roman" w:eastAsia="Times New Roman" w:cs="Times New Roman"/><w:sz w:val="2"/><w:szCs w:val="2"/></w:rPr><w:t xml:space="preserve"> </w:t></w:r></w:p></w:tc><w:tc><w:tcPr><w:tcW w:w="400" w:type="pct"/><w:vAlign w:val="top"/><w:noWrap/></w:tcPr><w:p><w:pPr><w:jc w:val="center"/><w:spacing w:before="0" w:after="0"/></w:pPr><w:r><w:rPr><w:rFonts w:ascii="Times New Roman" w:hAnsi="Times New Roman" w:eastAsia="Times New Roman" w:cs="Times New Roman"/><w:sz w:val="2"/><w:szCs w:val="2"/></w:rPr><w:t xml:space="preserve"> </w:t></w:r></w:p></w:tc><w:tc><w:tcPr><w:tcW w:w="2500" w:type="pct"/><w:vAlign w:val="top"/><w:noWrap/></w:tcPr><w:p><w:pPr><w:jc w:val="center"/><w:spacing w:before="0" w:after="0"/></w:pPr><w:r><w:rPr><w:rFonts w:ascii="Times New Roman" w:hAnsi="Times New Roman" w:eastAsia="Times New Roman" w:cs="Times New Roman"/><w:sz w:val="2"/><w:szCs w:val="2"/></w:rPr><w:t xml:space="preserve"> </w:t></w:r></w:p></w:tc></w:tr><w:tr><w:trPr/><w:tc><w:tcPr><w:tcW w:w="3000" w:type="pct"/><w:vAlign w:val="top"/><w:noWrap/></w:tcPr><w:p><w:pPr><w:jc w:val="center"/><w:spacing w:before="0" w:after="0"/></w:pPr><w:r><w:rPr><w:rFonts w:ascii="Times New Roman" w:hAnsi="Times New Roman" w:eastAsia="Times New Roman" w:cs="Times New Roman"/><w:color w:val="000000"/><w:sz w:val="16"/><w:szCs w:val="16"/></w:rPr><w:t xml:space="preserve">Large accelerated filer </w:t></w:r><w:r><w:rPr><w:rFonts w:ascii="Segoe UI Symbol" w:hAnsi="Segoe UI Symbol" w:eastAsia="Segoe UI Symbol" w:cs="Segoe UI Symbol"/><w:color w:val="000000"/><w:sz w:val="16"/><w:szCs w:val="16"/></w:rPr><w:t xml:space="preserve">☐</w:t></w:r></w:p></w:tc><w:tc><w:tcPr><w:tcW w:w="4100" w:type="pct"/><w:vAlign w:val="top"/><w:noWrap/></w:tcPr><w:p><w:pPr><w:jc w:val="center"/><w:spacing w:before="0" w:after="0"/></w:pPr><w:r><w:rPr><w:rFonts w:ascii="Times New Roman" w:hAnsi="Times New Roman" w:eastAsia="Times New Roman" w:cs="Times New Roman"/><w:color w:val="000000"/><w:sz w:val="16"/><w:szCs w:val="16"/></w:rPr><w:t xml:space="preserve">Accelerated filer </w:t></w:r><w:r><w:rPr><w:rFonts w:ascii="Segoe UI Symbol" w:hAnsi="Segoe UI Symbol" w:eastAsia="Segoe UI Symbol" w:cs="Segoe UI Symbol"/><w:color w:val="000000"/><w:sz w:val="16"/><w:szCs w:val="16"/></w:rPr><w:t xml:space="preserve">☒</w:t></w:r></w:p></w:tc><w:tc><w:tcPr><w:tcW w:w="400" w:type="pct"/><w:vAlign w:val="top"/><w:noWrap/></w:tcPr><w:p><w:pPr><w:jc w:val="center"/><w:spacing w:before="0" w:after="0"/></w:pPr><w:r><w:rPr><w:rFonts w:ascii="Times New Roman" w:hAnsi="Times New Roman" w:eastAsia="Times New Roman" w:cs="Times New Roman"/><w:color w:val="000000"/><w:sz w:val="16"/><w:szCs w:val="16"/></w:rPr><w:t xml:space="preserve">Non‑accelerated filer </w:t></w:r><w:r><w:rPr><w:rFonts w:ascii="Segoe UI Symbol" w:hAnsi="Segoe UI Symbol" w:eastAsia="Segoe UI Symbol" w:cs="Segoe UI Symbol"/><w:color w:val="000000"/><w:sz w:val="16"/><w:szCs w:val="16"/></w:rPr><w:t xml:space="preserve">☐</w:t></w:r><w:br/><w:r><w:rPr><w:rFonts w:ascii="Times New Roman" w:hAnsi="Times New Roman" w:eastAsia="Times New Roman" w:cs="Times New Roman"/><w:color w:val="000000"/><w:sz w:val="16"/><w:szCs w:val="16"/></w:rPr><w:t xml:space="preserve">(Do not check if a</w:t></w:r><w:br/><w:r><w:rPr><w:rFonts w:ascii="Times New Roman" w:hAnsi="Times New Roman" w:eastAsia="Times New Roman" w:cs="Times New Roman"/><w:color w:val="000000"/><w:sz w:val="16"/><w:szCs w:val="16"/></w:rPr><w:t xml:space="preserve">smaller reporting company)</w:t></w:r></w:p></w:tc><w:tc><w:tcPr><w:tcW w:w="2500" w:type="pct"/><w:vAlign w:val="top"/><w:noWrap/></w:tcPr><w:p><w:pPr><w:jc w:val="center"/><w:spacing w:before="0" w:after="0"/></w:pPr><w:r><w:rPr><w:rFonts w:ascii="Times New Roman" w:hAnsi="Times New Roman" w:eastAsia="Times New Roman" w:cs="Times New Roman"/><w:color w:val="000000"/><w:sz w:val="16"/><w:szCs w:val="16"/></w:rPr><w:t xml:space="preserve">Smaller reporting company </w:t></w:r><w:r><w:rPr><w:rFonts w:ascii="Segoe UI Symbol" w:hAnsi="Segoe UI Symbol" w:eastAsia="Segoe UI Symbol" w:cs="Segoe UI Symbol"/><w:color w:val="000000"/><w:sz w:val="16"/><w:szCs w:val="16"/></w:rPr><w:t xml:space="preserve">☐</w:t></w:r></w:p></w:tc></w:tr><w:tr><w:trPr/><w:tc><w:tcPr><w:tcW w:w="3000" w:type="pct"/><w:vAlign w:val="top"/><w:noWrap/></w:tcPr><w:p><w:pPr><w:jc w:val="center"/><w:spacing w:before="0" w:after="0"/></w:pPr><w:r><w:rPr><w:rFonts w:ascii="Times New Roman" w:hAnsi="Times New Roman" w:eastAsia="Times New Roman" w:cs="Times New Roman"/><w:color w:val="000000"/><w:sz w:val="16"/><w:szCs w:val="16"/></w:rPr><w:t xml:space="preserve">Emerging growth company </w:t></w:r><w:r><w:rPr><w:rFonts w:ascii="Segoe UI Symbol" w:hAnsi="Segoe UI Symbol" w:eastAsia="Segoe UI Symbol" w:cs="Segoe UI Symbol"/><w:color w:val="000000"/><w:sz w:val="16"/><w:szCs w:val="16"/></w:rPr><w:t xml:space="preserve">☒</w:t></w:r></w:p></w:tc><w:tc><w:tcPr><w:tcW w:w="4100" w:type="pct"/><w:vAlign w:val="top"/><w:noWrap/></w:tcPr><w:p><w:pPr><w:jc w:val="center"/><w:spacing w:before="0" w:after="0"/></w:pPr><w:r><w:rPr><w:rFonts w:ascii="Times New Roman" w:hAnsi="Times New Roman" w:eastAsia="Times New Roman" w:cs="Times New Roman"/><w:color w:val="000000"/><w:sz w:val="16"/><w:szCs w:val="16"/></w:rPr><w:t xml:space="preserve"> </w:t></w:r></w:p></w:tc><w:tc><w:tcPr><w:tcW w:w="400" w:type="pct"/><w:vAlign w:val="top"/><w:noWrap/></w:tcPr><w:p><w:pPr><w:jc w:val="center"/><w:spacing w:before="0" w:after="0"/></w:pPr><w:r><w:rPr><w:rFonts w:ascii="Times New Roman" w:hAnsi="Times New Roman" w:eastAsia="Times New Roman" w:cs="Times New Roman"/><w:color w:val="000000"/><w:sz w:val="16"/><w:szCs w:val="16"/></w:rPr><w:t xml:space="preserve"> </w:t></w:r></w:p></w:tc><w:tc><w:tcPr><w:tcW w:w="2500" w:type="pct"/><w:vAlign w:val="top"/><w:noWrap/></w:tcPr><w:p><w:pPr><w:jc w:val="end"/><w:spacing w:before="0" w:after="0"/></w:pPr><w:r><w:rPr><w:rFonts w:ascii="Times New Roman" w:hAnsi="Times New Roman" w:eastAsia="Times New Roman" w:cs="Times New Roman"/><w:color w:val="000000"/><w:sz w:val="16"/><w:szCs w:val="16"/></w:rPr><w:t xml:space="preserve"> </w:t></w:r></w:p></w:tc></w:tr></w:tbl><w:p><w:pPr><w:spacing w:before="0" w:after="0" w:line="60" w:lineRule="exact"/></w:pPr><w:r><w:rPr><w:rFonts w:ascii="Times New Roman" w:hAnsi="Times New Roman" w:eastAsia="Times New Roman" w:cs="Times New Roman"/><w:sz w:val="6"/><w:szCs w:val="6"/></w:rPr><w:t xml:space="preserve"> </w:t></w:r></w:p><w:p><w:pPr><w:ind w:left="0" w:right="0" w:firstLine="720" w:hanging="0"/><w:spacing w:before="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 of the Exchange Act.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p><w:p><w:pPr><w:ind w:left="0" w:right="0" w:firstLine="720" w:hanging="0"/><w:spacing w:before="0" w:after="0"/></w:pPr><w:r><w:rPr><w:rFonts w:ascii="Times New Roman" w:hAnsi="Times New Roman" w:eastAsia="Times New Roman" w:cs="Times New Roman"/><w:color w:val="000000"/><w:sz w:val="16"/><w:szCs w:val="16"/></w:rPr><w:t xml:space="preserve">As of June 29, 2018, the last business day of the Registrant’s most recently completed second fiscal quarter the aggregate of the Registrant’s Class A ordinary shares outstanding  held by non-affiliates of the Registrant was approximately $310,930,000 based on its last reported sales price of $10.03 on the NASDAQ Capital Market.</w:t></w:r></w:p><w:p><w:pPr><w:ind w:left="0" w:right="0" w:firstLine="720" w:hanging="0"/><w:spacing w:before="0" w:after="0"/></w:pPr><w:r><w:rPr><w:rFonts w:ascii="Times New Roman" w:hAnsi="Times New Roman" w:eastAsia="Times New Roman" w:cs="Times New Roman"/><w:color w:val="000000"/><w:sz w:val="16"/><w:szCs w:val="16"/></w:rPr><w:t xml:space="preserve">At December 31, 2017, there were 31,000,000 Class A ordinary shares, $0.0001 par value, and 7,750,000 Class B ordinary shares, $0.0001 par value, issued and outstanding.</w:t></w:r></w:p><w:p><w:pPr><w:ind w:left="0" w:right="0" w:firstLine="720" w:hanging="0"/><w:spacing w:before="0" w:after="0"/></w:pPr><w:r><w:rPr><w:rFonts w:ascii="Times New Roman" w:hAnsi="Times New Roman" w:eastAsia="Times New Roman" w:cs="Times New Roman"/><w:color w:val="000000"/><w:sz w:val="16"/><w:szCs w:val="16"/></w:rPr><w:t xml:space="preserve">Documents Incorporated by Reference: Portions of the proxy statement that was filed with the Commission on May 31, 2018 in connection with the 2018 annual meeting of shareholders are incorporated by reference into Part III of this Annual Report on Form 10-K/A.</w:t></w:r></w:p><w:p><w:pPr><w:spacing w:before="0" w:after="0"/></w:pPr><w:r><w:rPr><w:rFonts w:ascii="Times New Roman" w:hAnsi="Times New Roman" w:eastAsia="Times New Roman" w:cs="Times New Roman"/><w:color w:val="000000"/><w:sz w:val="6"/><w:szCs w:val="6"/></w:rPr><w:t xml:space="preserve"> </w:t></w:r></w:p><w:p><w:pPr><w:jc w:val="center"/><w:ind w:left="0" w:right="0" w:firstLine="720" w:hanging="0"/><w:spacing w:before="0" w:after="0"/></w:pPr><w:r><w:rPr><w:rFonts w:ascii="Times New Roman" w:hAnsi="Times New Roman" w:eastAsia="Times New Roman" w:cs="Times New Roman"/><w:sz w:val="2"/><w:szCs w:val="2"/></w:rPr><w:t xml:space="preserve"> </w:t></w:r></w:p><w:p><w:pPr><w:spacing w:before="0" w:after="0"/></w:pPr><w:r><w:rPr><w:rFonts w:ascii="Times New Roman" w:hAnsi="Times New Roman" w:eastAsia="Times New Roman" w:cs="Times New Roman"/><w:sz w:val="2"/><w:szCs w:val="2"/></w:rPr><w:t xml:space="preserve"> </w:t></w:r></w:p><w:p><w:pPr><w:spacing w:before="0" w:after="0"/></w:pPr><w:r><w:rPr><w:rFonts w:ascii="Times New Roman" w:hAnsi="Times New Roman" w:eastAsia="Times New Roman" w:cs="Times New Roman"/><w:sz w:val="20"/><w:szCs w:val="20"/></w:rPr><w:t xml:space="preserve">			 		</w:t></w:r></w:p><w:p><w:pPr><w:spacing w:before="0" w:after="0"/></w:pPr></w:p><w:p><w:pPr/><w:r><w:rPr/><w:t xml:space="preserve"> </w:t></w:r></w:p><w:p><w:pPr><w:jc w:val="center"/><w:spacing w:before="120" w:after="120" w:line="240" w:lineRule="auto"/><w:pBdr><w:top w:val="single" w:sz="0"/><w:left w:val="single" w:sz="0"/><w:right w:val="single" w:sz="0"/><w:bottom w:val="single" w:sz="1" w:color="000000"/></w:pBdr></w:pPr><w:r><w:rPr><w:color w:val="000000"/><w:sz w:val="6"/><w:szCs w:val="6"/><w:shd w:val="clear" w:fill="000000"/></w:rPr><w:t xml:space="preserve"></w:t></w:r></w:p><w:p><w:r><w:br w:type="page"/></w:r></w:p><w:p><w:pPr><w:spacing w:before="0" w:after="0"/></w:pPr></w:p><w:p><w:pPr><w:jc w:val="center"/><w:spacing w:before="0" w:after="0"/></w:pPr><w:r><w:rPr><w:rFonts w:ascii="Times New Roman" w:hAnsi="Times New Roman" w:eastAsia="Times New Roman" w:cs="Times New Roman"/><w:color w:val="000000"/><w:sz w:val="20"/><w:szCs w:val="20"/><w:b w:val="1"/><w:bCs w:val="1"/></w:rPr><w:t xml:space="preserve">EXPLANATORY NOTE</w:t></w:r></w:p><w:p><w:pPr><w:jc w:val="center"/><w:spacing w:before="0" w:after="0"/></w:pPr><w:r><w:rPr><w:rFonts w:ascii="Times New Roman" w:hAnsi="Times New Roman" w:eastAsia="Times New Roman" w:cs="Times New Roman"/><w:sz w:val="20"/><w:szCs w:val="20"/></w:rPr><w:t xml:space="preserve"> </w:t></w:r></w:p><w:p><w:pPr><w:ind w:left="0" w:right="0" w:firstLine="720" w:hanging="0"/><w:spacing w:before="0" w:after="0"/></w:pPr><w:r><w:rPr><w:rFonts w:ascii="Times New Roman" w:hAnsi="Times New Roman" w:eastAsia="Times New Roman" w:cs="Times New Roman"/><w:sz w:val="20"/><w:szCs w:val="20"/></w:rPr><w:t xml:space="preserve">Avista Healthcare Public Acquisition Corp. (the </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Company</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 is filing this Amendment No. 1 on Form 10-K/A to amend its Annual Report on Form 10-K for the year ended December 31, 2017, filed with the Securities and Exchange Commission (</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SEC</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 on March 14, 2018 (the </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2017 Annual Report</w:t></w:r><w:r><w:rPr><w:rFonts w:ascii="Times New Roman" w:hAnsi="Times New Roman" w:eastAsia="Times New Roman" w:cs="Times New Roman"/><w:color w:val="000000"/><w:sz w:val="20"/><w:szCs w:val="20"/></w:rPr><w:t xml:space="preserve">”</w:t></w:r><w:r><w:rPr><w:rFonts w:ascii="Times New Roman" w:hAnsi="Times New Roman" w:eastAsia="Times New Roman" w:cs="Times New Roman"/><w:sz w:val="20"/><w:szCs w:val="20"/></w:rPr><w:t xml:space="preserve">) solely to include language inadvertently omitted from the previously filed Exhibits 31.1 and 31.2, and contains new certifications pursuant to Section 302 of the Sarbanes-Oxley Act of 2002, which are attached hereto. This Amendment should be read in conjunction with the Company’s 2017 Annual Report and other Company filings made with the SEC.</w:t></w:r></w:p><w:p><w:pPr><w:ind w:left="0" w:right="0" w:firstLine="720" w:hanging="0"/><w:spacing w:before="0" w:after="0"/></w:pPr><w:r><w:rPr><w:rFonts w:ascii="Times New Roman" w:hAnsi="Times New Roman" w:eastAsia="Times New Roman" w:cs="Times New Roman"/><w:sz w:val="20"/><w:szCs w:val="20"/></w:rPr><w:t xml:space="preserve"> </w:t></w:r></w:p><w:p><w:pPr><w:ind w:left="0" w:right="0" w:firstLine="720" w:hanging="0"/><w:spacing w:before="0" w:after="0"/></w:pPr><w:r><w:rPr><w:rFonts w:ascii="Times New Roman" w:hAnsi="Times New Roman" w:eastAsia="Times New Roman" w:cs="Times New Roman"/><w:sz w:val="20"/><w:szCs w:val="20"/></w:rPr><w:t xml:space="preserve">Except as described above, no other changes have been made to the 2017 Annual Report, and this Form 10-K/A does not modify, amend or update in any way any of the financial or other information contained in the 2017 Annual Report. This Form 10-K/A does not reflect events that may have occurred subsequent to the filing date of the 2017 Annual Report.</w:t></w:r></w:p><w:p><w:pPr><w:ind w:left="0" w:right="0" w:firstLine="720" w:hanging="0"/><w:spacing w:before="0" w:after="0"/></w:pPr><w:r><w:rPr><w:rFonts w:ascii="Times New Roman" w:hAnsi="Times New Roman" w:eastAsia="Times New Roman" w:cs="Times New Roman"/><w:sz w:val="20"/><w:szCs w:val="20"/></w:rPr><w:t xml:space="preserve"> </w:t></w:r></w:p><w:p><w:pPr><w:spacing w:before="0" w:after="0"/></w:pPr><w:r><w:rPr><w:rFonts w:ascii="Times New Roman" w:hAnsi="Times New Roman" w:eastAsia="Times New Roman" w:cs="Times New Roman"/><w:color w:val="000000"/><w:sz w:val="20"/><w:szCs w:val="20"/><w:b w:val="1"/><w:bCs w:val="1"/></w:rPr><w:t xml:space="preserve">PART IV</w:t></w:r></w:p><w:p><w:pPr><w:spacing w:before="0" w:after="0"/></w:pPr><w:r><w:rPr><w:rFonts w:ascii="Times New Roman" w:hAnsi="Times New Roman" w:eastAsia="Times New Roman" w:cs="Times New Roman"/><w:sz w:val="20"/><w:szCs w:val="20"/></w:rPr><w:t xml:space="preserve"> </w:t></w:r></w:p><w:p><w:pPr><w:spacing w:before="0" w:after="0"/></w:pPr><w:r><w:rPr><w:rFonts w:ascii="Times New Roman" w:hAnsi="Times New Roman" w:eastAsia="Times New Roman" w:cs="Times New Roman"/><w:color w:val="000000"/><w:sz w:val="20"/><w:szCs w:val="20"/><w:b w:val="1"/><w:bCs w:val="1"/></w:rPr><w:t xml:space="preserve">Item 15. Exhibits, Financial Statement Schedules.</w:t></w:r></w:p><w:p><w:pPr><w:spacing w:before="0" w:after="0"/></w:pPr><w:r><w:rPr><w:rFonts w:ascii="Times New Roman" w:hAnsi="Times New Roman" w:eastAsia="Times New Roman" w:cs="Times New Roman"/><w:sz w:val="20"/><w:szCs w:val="20"/></w:rPr><w:t xml:space="preserve"> </w:t></w:r></w:p><w:p><w:pPr><w:spacing w:before="0" w:after="0"/></w:pPr><w:r><w:rPr><w:rFonts w:ascii="Times New Roman" w:hAnsi="Times New Roman" w:eastAsia="Times New Roman" w:cs="Times New Roman"/><w:color w:val="000000"/><w:sz w:val="20"/><w:szCs w:val="20"/><w:b w:val="1"/><w:bCs w:val="1"/></w:rPr><w:t xml:space="preserve">b) Exhibits:</w:t></w:r></w:p><w:p><w:pPr><w:spacing w:before="0" w:after="0"/></w:pPr><w:r><w:rPr><w:rFonts w:ascii="Times New Roman" w:hAnsi="Times New Roman" w:eastAsia="Times New Roman" w:cs="Times New Roman"/><w:sz w:val="16"/><w:szCs w:val="16"/></w:rPr><w:t xml:space="preserve"> </w:t></w:r></w:p><w:tbl><w:tblGrid><w:gridCol w:w="4900" w:type="dxa"/><w:gridCol w:w="4300" w:type="dxa"/><w:gridCol w:w="800" w:type="dxa"/></w:tblGrid><w:tblPr><w:jc w:val="center"/><w:tblW w:w="0" w:type="pct"/><w:tblCellSpacing w:w="0" w:type="dxa"/><w:tblLayout w:type="autofit"/></w:tblPr><w:tr><w:trPr/><w:tc><w:tcPr><w:tcW w:w="4900" w:type="pct"/><w:vAlign w:val="bottom"/><w:noWrap/></w:tcPr><w:p><w:pPr><w:jc w:val="center"/><w:spacing w:before="0" w:after="0"/></w:pPr><w:r><w:rPr><w:rFonts w:ascii="Times New Roman" w:hAnsi="Times New Roman" w:eastAsia="Times New Roman" w:cs="Times New Roman"/><w:sz w:val="2"/><w:szCs w:val="2"/></w:rPr><w:t xml:space="preserve"> </w:t></w:r></w:p></w:tc><w:tc><w:tcPr><w:tcW w:w="4300" w:type="pct"/><w:vAlign w:val="top"/><w:noWrap/></w:tcPr><w:p><w:pPr><w:jc w:val="center"/><w:spacing w:before="0" w:after="0"/></w:pPr><w:r><w:rPr><w:rFonts w:ascii="Times New Roman" w:hAnsi="Times New Roman" w:eastAsia="Times New Roman" w:cs="Times New Roman"/><w:sz w:val="2"/><w:szCs w:val="2"/></w:rPr><w:t xml:space="preserve"> </w:t></w:r></w:p></w:tc><w:tc><w:tcPr><w:tcW w:w="800" w:type="pct"/><w:vAlign w:val="bottom"/><w:noWrap/></w:tcPr><w:p><w:pPr><w:jc w:val="center"/><w:spacing w:before="0" w:after="0"/></w:pPr><w:r><w:rPr><w:rFonts w:ascii="Times New Roman" w:hAnsi="Times New Roman" w:eastAsia="Times New Roman" w:cs="Times New Roman"/><w:sz w:val="2"/><w:szCs w:val="2"/></w:rPr><w:t xml:space="preserve"> </w:t></w:r></w:p></w:tc></w:tr><w:tr><w:trPr/><w:tc><w:tcPr><w:tcW w:w="4900" w:type="pct"/><w:vAlign w:val="bottom"/><w:shd w:val="clear" w:fill="auto"/><w:noWrap/></w:tcPr><w:p><w:pPr><w:jc w:val="center"/><w:spacing w:before="0" w:after="0"/></w:pPr><w:r><w:rPr><w:rFonts w:ascii="Times New Roman" w:hAnsi="Times New Roman" w:eastAsia="Times New Roman" w:cs="Times New Roman"/><w:sz w:val="16"/><w:szCs w:val="16"/><w:b w:val="1"/><w:bCs w:val="1"/><w:shd w:val="clear" w:fill="auto"/></w:rPr><w:t xml:space="preserve">Exhibit Number</w:t></w:r></w:p></w:tc><w:tc><w:tcPr><w:tcW w:w="4300" w:type="pct"/><w:vAlign w:val="top"/><w:noWrap/></w:tcPr><w:p><w:pPr><w:jc w:val="center"/><w:spacing w:before="0" w:after="0"/></w:pPr><w:r><w:rPr><w:rFonts w:ascii="Times New Roman" w:hAnsi="Times New Roman" w:eastAsia="Times New Roman" w:cs="Times New Roman"/><w:color w:val="000000"/><w:sz w:val="16"/><w:szCs w:val="16"/><w:b w:val="1"/><w:bCs w:val="1"/></w:rPr><w:t xml:space="preserve">    </w:t></w:r></w:p></w:tc><w:tc><w:tcPr><w:tcW w:w="800" w:type="pct"/><w:vAlign w:val="bottom"/><w:shd w:val="clear" w:fill="auto"/><w:noWrap/></w:tcPr><w:p><w:pPr><w:jc w:val="center"/><w:spacing w:before="0" w:after="0"/></w:pPr><w:r><w:rPr><w:rFonts w:ascii="Times New Roman" w:hAnsi="Times New Roman" w:eastAsia="Times New Roman" w:cs="Times New Roman"/><w:color w:val="000000"/><w:sz w:val="16"/><w:szCs w:val="16"/><w:b w:val="1"/><w:bCs w:val="1"/><w:shd w:val="clear" w:fill="auto"/></w:rPr><w:t xml:space="preserve">EXHIBITS</w:t></w:r><w:br/><w:r><w:rPr><w:rFonts w:ascii="Times New Roman" w:hAnsi="Times New Roman" w:eastAsia="Times New Roman" w:cs="Times New Roman"/><w:sz w:val="16"/><w:szCs w:val="16"/><w:b w:val="1"/><w:bCs w:val="1"/><w:shd w:val="clear" w:fill="auto"/></w:rPr><w:t xml:space="preserve">Description</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7" w:history="1"><w:r><w:rPr/><w:t xml:space="preserve">Transaction Agreement, dated August 21, 2017, by and among Avista Healthcare Public Acquisition Corp., Avista Healthcare Merger Sub, Inc., Avista Healthcare NewCo, LLC and Envigo International Holdings, Inc. (incorporated by reference to Exhibit 2.1 to the Registrant’s Current Report on Form 8-K filed on August 22, 2017).</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2.2**</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8" w:history="1"><w:r><w:rPr/><w:t xml:space="preserve">Amendment No. 1 to the Transaction Agreement, dated as of November 22, 2017, by and among Avista Healthcare Public Acquisition Corp., Envigo International Holdings, Inc., Avista Healthcare Merger Sub, Inc. and Avista Healthcare NewCo, LLC (incorporated by reference to Exhibit 2.1 to the Current Report on Form 8-K of Avista Healthcare Public Acquisition Corp., filed with the SEC on November 22, 2017).</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2.3**</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9" w:history="1"><w:r><w:rPr/><w:t xml:space="preserve">Amendment No. 2 to the Transaction Agreement, dated as of December 22, 2017, by and among Avista Healthcare Public Acquisition Corp., Envigo International Holdings, Inc., Avista Healthcare Merger Sub, Inc. and Avista Healthcare NewCo, LLC (incorporated by reference to Exhibit 2.1 to the Current Report on Form 8-K of Avista Healthcare Public Acquisition Corp., filed with the SEC on December 26, 2017).</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2.4**</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0" w:history="1"><w:r><w:rPr/><w:t xml:space="preserve">Amendment No. 3 to the Transaction Agreement, dated as of January 21, 2018, by and among Avista Healthcare Public Acquisition Corp., Envigo International Holdings, Inc., Avista Healthcare Merger Sub, Inc. and Avista Healthcare NewCo, LLC (incorporated by reference to Exhibit 2.1 to the Current Report on Form 8-K of Avista Healthcare Public Acquisition Corp., filed with the SEC on January 22, 2018).</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2.5**</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1" w:history="1"><w:r><w:rPr/><w:t xml:space="preserve">Amendment No. 4 to the Transaction Agreement, dated as of February 9, 2018, by and among Avista Healthcare Public Acquisition Corp., Envigo International Holdings, Inc., Avista Healthcare Merger Sub, Inc. and Avista Healthcare NewCo, LLC (incorporated by reference to Exhibit 2.5 to the Current Report on Form S-4/A of Avista Healthcare Public Acquisition Corp., filed with the SEC on February 9, 2018).</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2.6**</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2" w:history="1"><w:r><w:rPr/><w:t xml:space="preserve">Mutual Termination Agreement, dated February 14, 2018, by and among Avista HealthcarePublic Acquisition Corp., Avista Healthcare Merger Sub, Inc., Avista Healthcare NewCo, LLC and Envigo International Holdings, Inc. (incorporated by reference to Exhibit 2.6 to the 10-K of Avista Healthcare Public Acquisition Corp., filed with the SEC on March 14, 2018).</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3.1**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3" w:history="1"><w:r><w:rPr/><w:t xml:space="preserve">Amended and Restated Memorandum and Articles of Association (incorporated by reference to Exhibit 3.1 filed to the Company’s current report on Form 8‑K filed by the Registrant on October 14, 2016).</w:t></w:r></w:hyperlink></w:p></w:tc></w:tr></w:tbl><w:p><w:pPr/><w:r><w:rPr/><w:t xml:space="preserve"> </w:t></w:r></w:p><w:p><w:pPr><w:jc w:val="center"/><w:spacing w:before="120" w:after="120" w:line="240" w:lineRule="auto"/><w:pBdr><w:top w:val="single" w:sz="0"/><w:left w:val="single" w:sz="0"/><w:right w:val="single" w:sz="0"/><w:bottom w:val="single" w:sz="1" w:color="000000"/></w:pBdr></w:pPr><w:r><w:rPr><w:color w:val="000000"/><w:sz w:val="6"/><w:szCs w:val="6"/><w:shd w:val="clear" w:fill="000000"/></w:rPr><w:t xml:space="preserve"></w:t></w:r></w:p><w:p><w:r><w:br w:type="page"/></w:r></w:p><w:tbl><w:tblGrid><w:gridCol w:w="4900" w:type="dxa"/><w:gridCol w:w="4300" w:type="dxa"/><w:gridCol w:w="800" w:type="dxa"/></w:tblGrid><w:tblPr><w:jc w:val="center"/><w:tblW w:w="0" w:type="pct"/><w:tblCellSpacing w:w="0" w:type="dxa"/><w:tblLayout w:type="autofit"/></w:tblPr><w:tr><w:trPr/><w:tc><w:tcPr><w:tcW w:w="4900" w:type="pct"/><w:vAlign w:val="top"/><w:shd w:val="clear" w:fill="auto"/><w:noWrap/></w:tcPr><w:p><w:pPr><w:jc w:val="center"/><w:spacing w:before="0" w:after="0"/></w:pPr></w:p><w:p><w:pPr><w:jc w:val="center"/><w:ind w:left="0" w:right="0" w:firstLine="144" w:hanging="0"/><w:spacing w:before="0" w:after="0"/></w:pPr><w:r><w:rPr><w:rFonts w:ascii="Times New Roman" w:hAnsi="Times New Roman" w:eastAsia="Times New Roman" w:cs="Times New Roman"/><w:sz w:val="20"/><w:szCs w:val="20"/><w:shd w:val="clear" w:fill="auto"/></w:rPr><w:t xml:space="preserve">4.1**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4" w:history="1"><w:r><w:rPr/><w:t xml:space="preserve">Specimen Unit Certificate (incorporated by reference to Exhibit 4.1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4.2**</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5" w:history="1"><w:r><w:rPr/><w:t xml:space="preserve">Specimen Class A Ordinary Share Certificate (incorporated by reference to Exhibit 4.2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4.3**</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6" w:history="1"><w:r><w:rPr/><w:t xml:space="preserve">Specimen Warrant Certificate (incorporated by reference to Exhibit 4.3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7" w:history="1"><w:r><w:rPr/><w:t xml:space="preserve">Warrant Agreement, dated as of October 10, 2016, between the Company and Continental Stock Transfer & Trust Company, as warrant agent (incorporated by reference to Exhibit 4.4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10.2**</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8" w:history="1"><w:r><w:rPr/><w:t xml:space="preserve">Letter Agreement, dated October 10, 2016, among the Company, its officers and directors and Avista Acquisition Corp. (incorporated by reference to Exhibit 10.1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10.3**</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19" w:history="1"><w:r><w:rPr/><w:t xml:space="preserve">Investment Management Trust Agreement, dated as of October 10, 2016, between the Company and Continental Stock Transfer & Trust Company, as trustee (incorporated by reference to Exhibit 10.2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10.4**</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0" w:history="1"><w:r><w:rPr/><w:t xml:space="preserve">Registration Rights Agreement, dated as of October 10, 2016, among the Company, Avista Acquisition Corp. and certain other security holders named therein (incorporated by reference to Exhibit 10.3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10.5**</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1" w:history="1"><w:r><w:rPr/><w:t xml:space="preserve">Administrative Services Agreement, dated October 10, 2016, between the Company and Avista Capital Holdings, L.P. (incorporated by reference to Exhibit 10.5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10.6**</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2" w:history="1"><w:r><w:rPr/><w:t xml:space="preserve">Private Placement Warrants Purchase Agreement dated as of October 10, 2016, among the Company, Avista Acquisition Corp. and certain other purchasers named therein (incorporated by reference to Exhibit 10.4 filed to the Company’s current report on Form 8‑K filed by the Registrant on October 14,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10.7**</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3" w:history="1"><w:r><w:rPr/><w:t xml:space="preserve">Form of Indemnity Agreement (incorporated by reference to Exhibit 10.7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10.8**</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4" w:history="1"><w:r><w:rPr/><w:t xml:space="preserve">Promissory Note, dated September 1, 2016, issued to Avista Acquisition Corp. (incorporated by reference to Exhibit 10.1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10.9**</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5" w:history="1"><w:r><w:rPr/><w:t xml:space="preserve">Securities Subscription Agreement, dated December 14, 2015, between the Registrant and Avista Acquisition Corp. (incorporated by reference to Exhibit 10.5 filed with the Form S‑1 filed by the Registrant on September 2, 2016).</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10.10**</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6" w:history="1"><w:r><w:rPr/><w:t xml:space="preserve">Parent Sponsor Letter Agreement, dated August 21, 2017, by and among Avista Healthcare Public Acquisition Corp., Avista Acquisition Corp., and certain individuals (incorporated by reference to Exhibit 10.10 to the Registrant’s Current Report on Form 8-K filed on August 22, 2017).</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24.1**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7" w:history="1"><w:r><w:rPr/><w:t xml:space="preserve">Power of Attorney (incorporated by reference to Exhibit 24.1 to the 10-K of Avista Healthcare Public Acquisition Corp., filed with the SEC on March 14, 2018).</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31.1*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8" w:history="1"><w:r><w:rPr/><w:t xml:space="preserve">Certification of Principal Executive Officer Pursuant to Rules 13a‑14(a) and 15d‑14(a) under the Securities Exchange Act of 1934, as Adopted Pursuant to Section 302 of the Sarbanes‑Oxley Act of 2002.</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31.2*</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29" w:history="1"><w:r><w:rPr/><w:t xml:space="preserve">Certification of Principal Financial Officer Pursuant to Rules 13a‑14(a) and 15d‑14(a) under the Securities Exchange Act of 1934, as Adopted Pursuant to Section 302 of the Sarbanes‑Oxley Act of 2002.</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32.1**</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30" w:history="1"><w:r><w:rPr/><w:t xml:space="preserve">Certification of Principal Executive Officer Pursuant to 18 U.S.C. Section 1350, as Adopted Pursuant to Section 906 of the Sarbanes‑Oxley Act of 2002 (incorporated by reference to Exhibit 32.1 to the Company’s Annual Report on Form10-K filed with the SEC on March 14, 2018).</w:t></w:r></w:hyperlink></w:p></w:tc></w:tr></w:tbl><w:p><w:pPr/><w:r><w:rPr/><w:t xml:space="preserve"> </w:t></w:r></w:p><w:p><w:pPr><w:jc w:val="center"/><w:spacing w:before="120" w:after="120" w:line="240" w:lineRule="auto"/><w:pBdr><w:top w:val="single" w:sz="0"/><w:left w:val="single" w:sz="0"/><w:right w:val="single" w:sz="0"/><w:bottom w:val="single" w:sz="1" w:color="000000"/></w:pBdr></w:pPr><w:r><w:rPr><w:color w:val="000000"/><w:sz w:val="6"/><w:szCs w:val="6"/><w:shd w:val="clear" w:fill="000000"/></w:rPr><w:t xml:space="preserve"></w:t></w:r></w:p><w:p><w:r><w:br w:type="page"/></w:r></w:p><w:tbl><w:tblGrid><w:gridCol w:w="4900" w:type="dxa"/><w:gridCol w:w="4300" w:type="dxa"/><w:gridCol w:w="800" w:type="dxa"/></w:tblGrid><w:tblPr><w:jc w:val="center"/><w:tblW w:w="0" w:type="pct"/><w:tblCellSpacing w:w="0" w:type="dxa"/><w:tblLayout w:type="autofit"/></w:tblPr><w:tr><w:trPr/><w:tc><w:tcPr><w:tcW w:w="4900" w:type="pct"/><w:vAlign w:val="top"/><w:shd w:val="clear" w:fill="auto"/><w:noWrap/></w:tcPr><w:p><w:pPr><w:jc w:val="center"/><w:spacing w:before="0" w:after="0"/></w:pPr></w:p><w:p><w:pPr><w:jc w:val="center"/><w:ind w:left="0" w:right="0" w:firstLine="144" w:hanging="0"/><w:spacing w:before="0" w:after="0"/></w:pPr><w:r><w:rPr><w:rFonts w:ascii="Times New Roman" w:hAnsi="Times New Roman" w:eastAsia="Times New Roman" w:cs="Times New Roman"/><w:sz w:val="20"/><w:szCs w:val="20"/><w:shd w:val="clear" w:fill="auto"/></w:rPr><w:t xml:space="preserve">32.2**</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hyperlink r:id="rId31" w:history="1"><w:r><w:rPr/><w:t xml:space="preserve">Certification of Principal Financial Officer Pursuant to 18 U.S.C. Section 1350, as Adopted Pursuant to Section 906 of the Sarbanes‑Oxley Act of 2002 (incorporated by reference to Exhibit 32.2 to the Company’s Annual Report on Form10-K filed with the SEC on March 14, 2018).</w:t></w:r></w:hyperlink></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101.INS**</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XBRL Instance Document (incorporated by reference to Exhibit 101.INS to the 10-Q of Avista Healthcare Public Acquisition Corp., filed with the SEC on March 14, 2018).</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101.SCH**</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Taxonomy Extension Schema Document (incorporated by reference to Exhibit 101.SCH to the 10-Q of Avista Healthcare Public Acquisition Corp., filed with the SEC on March 14, 2018).</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101.CAL**</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Taxonomy Extension Calculation Linkbase Document (incorporated by reference to Exhibit to the 10-Q of Avista Healthcare Public Acquisition Corp., filed with the SEC on March 14, 2018).</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101.DEF**</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Taxonomy Extension Definition Linkbase Document (incorporated by reference to Exhibit 101.DEF to the 10-Q of Avista Healthcare Public Acquisition Corp., filed with the SEC on March 14, 2018).</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101.LAB**</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Taxonomy Extension Label Linkbase Document (incorporated by reference to Exhibit 101.LAB to the 10-Q of Avista Healthcare Public Acquisition Corp., filed with the SEC on March 14, 2018).</w:t></w:r></w:p></w:tc></w:tr><w:tr><w:trPr/><w:tc><w:tcPr><w:tcW w:w="4900" w:type="pct"/><w:vAlign w:val="top"/><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101.PRE**</w:t></w:r></w:p></w:tc><w:tc><w:tcPr><w:tcW w:w="4300" w:type="pct"/><w:vAlign w:val="top"/><w:noWrap/></w:tcPr><w:p><w:pPr><w:jc w:val="center"/><w:spacing w:before="0" w:after="0"/></w:pPr><w:r><w:rPr><w:rFonts w:ascii="Times New Roman" w:hAnsi="Times New Roman" w:eastAsia="Times New Roman" w:cs="Times New Roman"/><w:sz w:val="20"/><w:szCs w:val="20"/></w:rPr><w:t xml:space="preserve"> </w:t></w:r></w:p></w:tc><w:tc><w:tcPr><w:tcW w:w="8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Taxonomy Extension Label Linkbase Document (incorporated by reference to Exhibit 101.PRE to the 10-Q of Avista Healthcare Public Acquisition Corp., filed with the SEC on March 14, 2018).</w:t></w:r></w:p></w:tc></w:tr></w:tbl><w:p><w:pPr><w:jc w:val="start"/><w:spacing w:before="120" w:after="120" w:line="240" w:lineRule="auto"/><w:pBdr><w:top w:val="single" w:sz="0"/><w:left w:val="single" w:sz="0"/><w:right w:val="single" w:sz="0"/><w:bottom w:val="single" w:sz="1" w:color="000"/></w:pBdr></w:pPr><w:r><w:rPr><w:color w:val="000"/><w:sz w:val="6"/><w:szCs w:val="6"/><w:shd w:val="clear" w:fill="000"/></w:rPr><w:t xml:space="preserve"></w:t></w:r></w:p><w:p><w:pPr><w:spacing w:before="0" w:after="0"/></w:pPr><w:r><w:rPr><w:rFonts w:ascii="Times New Roman" w:hAnsi="Times New Roman" w:eastAsia="Times New Roman" w:cs="Times New Roman"/><w:sz w:val="20"/><w:szCs w:val="20"/></w:rPr><w:t xml:space="preserve">*            Filed herewith.</w:t></w:r></w:p><w:p><w:pPr><w:spacing w:before="0" w:after="0"/></w:pPr><w:r><w:rPr><w:rFonts w:ascii="Times New Roman" w:hAnsi="Times New Roman" w:eastAsia="Times New Roman" w:cs="Times New Roman"/><w:sz w:val="20"/><w:szCs w:val="20"/></w:rPr><w:t xml:space="preserve">**          Previously filed.</w:t></w:r></w:p><w:p><w:pPr><w:spacing w:before="0" w:after="0"/></w:pPr><w:r><w:rPr><w:rFonts w:ascii="Times New Roman" w:hAnsi="Times New Roman" w:eastAsia="Times New Roman" w:cs="Times New Roman"/><w:sz w:val="20"/><w:szCs w:val="20"/></w:rPr><w:t xml:space="preserve"> </w:t></w:r></w:p><w:p><w:pPr><w:spacing w:before="0" w:after="0"/></w:pPr></w:p><w:p><w:pPr><w:spacing w:before="0" w:after="0"/></w:pPr></w:p><w:p><w:pPr/><w:r><w:rPr/><w:t xml:space="preserve"> </w:t></w:r></w:p><w:p><w:pPr><w:jc w:val="center"/><w:spacing w:before="120" w:after="120" w:line="240" w:lineRule="auto"/><w:pBdr><w:top w:val="single" w:sz="0"/><w:left w:val="single" w:sz="0"/><w:right w:val="single" w:sz="0"/><w:bottom w:val="single" w:sz="1" w:color="000000"/></w:pBdr></w:pPr><w:r><w:rPr><w:color w:val="000000"/><w:sz w:val="6"/><w:szCs w:val="6"/><w:shd w:val="clear" w:fill="000000"/></w:rPr><w:t xml:space="preserve"></w:t></w:r></w:p><w:p><w:r><w:br w:type="page"/></w:r></w:p><w:p><w:pPr><w:spacing w:before="0" w:after="0"/></w:pPr></w:p><w:p><w:pPr><w:jc w:val="center"/><w:spacing w:before="0" w:after="0"/></w:pPr><w:r><w:rPr><w:rFonts w:ascii="Times New Roman" w:hAnsi="Times New Roman" w:eastAsia="Times New Roman" w:cs="Times New Roman"/><w:color w:val="000000"/><w:sz w:val="20"/><w:szCs w:val="20"/><w:b w:val="1"/><w:bCs w:val="1"/></w:rPr><w:t xml:space="preserve">SIGNATURES</w:t></w:r></w:p><w:p><w:pPr><w:jc w:val="center"/><w:spacing w:before="0" w:after="0"/></w:pPr><w:r><w:rPr><w:rFonts w:ascii="Times New Roman" w:hAnsi="Times New Roman" w:eastAsia="Times New Roman" w:cs="Times New Roman"/><w:sz w:val="20"/><w:szCs w:val="20"/></w:rPr><w:t xml:space="preserve"> </w:t></w:r></w:p><w:p><w:pPr><w:ind w:left="0" w:right="0" w:firstLine="360" w:hanging="0"/><w:spacing w:before="0" w:after="0"/></w:pPr><w:r><w:rPr><w:rFonts w:ascii="Times New Roman" w:hAnsi="Times New Roman" w:eastAsia="Times New Roman" w:cs="Times New Roman"/><w:sz w:val="20"/><w:szCs w:val="20"/></w:rPr><w:t xml:space="preserve">Pursuant to the requirements of Section 13 or 15(d) of the Securities Exchange Act of 1934, the registrant has duly caused this report to be signed on its behalf by the undersigned, thereunto duly authorized.</w:t></w:r></w:p><w:p><w:pPr><w:jc w:val="center"/><w:spacing w:before="0" w:after="0"/></w:pPr><w:r><w:rPr><w:rFonts w:ascii="Times New Roman" w:hAnsi="Times New Roman" w:eastAsia="Times New Roman" w:cs="Times New Roman"/><w:sz w:val="20"/><w:szCs w:val="20"/></w:rPr><w:t xml:space="preserve"> </w:t></w:r></w:p><w:tbl><w:tblGrid><w:gridCol w:w="400" w:type="dxa"/><w:gridCol w:w="3500" w:type="dxa"/><w:gridCol w:w="1100" w:type="dxa"/></w:tblGrid><w:tblPr><w:jc w:val="center"/><w:tblW w:w="0" w:type="pct"/><w:tblCellSpacing w:w="0" w:type="dxa"/><w:tblLayout w:type="autofit"/></w:tblPr><w:tr><w:trPr/><w:tc><w:tcPr><w:tcW w:w="400" w:type="pct"/><w:vAlign w:val="bottom"/><w:noWrap/></w:tcPr><w:p><w:pPr><w:jc w:val="center"/><w:spacing w:before="0" w:after="0"/></w:pPr><w:r><w:rPr><w:rFonts w:ascii="Times New Roman" w:hAnsi="Times New Roman" w:eastAsia="Times New Roman" w:cs="Times New Roman"/><w:sz w:val="2"/><w:szCs w:val="2"/></w:rPr><w:t xml:space="preserve"> </w:t></w:r></w:p></w:tc><w:tc><w:tcPr><w:tcW w:w="3500" w:type="pct"/><w:vAlign w:val="bottom"/><w:noWrap/></w:tcPr><w:p><w:pPr><w:jc w:val="center"/><w:spacing w:before="0" w:after="0"/></w:pPr><w:r><w:rPr><w:rFonts w:ascii="Times New Roman" w:hAnsi="Times New Roman" w:eastAsia="Times New Roman" w:cs="Times New Roman"/><w:sz w:val="2"/><w:szCs w:val="2"/></w:rPr><w:t xml:space="preserve"> </w:t></w:r></w:p></w:tc><w:tc><w:tcPr><w:tcW w:w="1100" w:type="pct"/><w:vAlign w:val="bottom"/><w:noWrap/></w:tcPr><w:p><w:pPr><w:jc w:val="center"/><w:spacing w:before="0" w:after="0"/></w:pPr><w:r><w:rPr><w:rFonts w:ascii="Times New Roman" w:hAnsi="Times New Roman" w:eastAsia="Times New Roman" w:cs="Times New Roman"/><w:sz w:val="2"/><w:szCs w:val="2"/></w:rPr><w:t xml:space="preserve"> </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4600" w:type="pct"/><w:vAlign w:val="bottom"/><w:shd w:val="clear" w:fill="auto"/><w:gridSpan w:val="2"/><w:noWrap/></w:tcPr><w:p><w:pPr><w:jc w:val="center"/><w:spacing w:before="0" w:after="0"/></w:pPr><w:r><w:rPr><w:rFonts w:ascii="Times New Roman" w:hAnsi="Times New Roman" w:eastAsia="Times New Roman" w:cs="Times New Roman"/><w:sz w:val="20"/><w:szCs w:val="20"/><w:shd w:val="clear" w:fill="auto"/></w:rPr><w:t xml:space="preserve">AVISTA HEALTHCARE PUBLIC ACQUISITION CORP.</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4600" w:type="pct"/><w:vAlign w:val="bottom"/><w:shd w:val="clear" w:fill="auto"/><w:gridSpan w:val="2"/><w:noWrap/></w:tcPr><w:p><w:pPr><w:jc w:val="center"/><w:spacing w:before="0" w:after="0"/></w:pPr><w:r><w:rPr><w:rFonts w:ascii="Times New Roman" w:hAnsi="Times New Roman" w:eastAsia="Times New Roman" w:cs="Times New Roman"/><w:sz w:val="20"/><w:szCs w:val="20"/><w:shd w:val="clear" w:fill="auto"/></w:rPr><w:t xml:space="preserve"> </w:t></w:r></w:p></w:tc></w:tr><w:tr><w:trPr/><w:tc><w:tcPr><w:tcW w:w="400" w:type="pct"/><w:vAlign w:val="bottom"/><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Date: October 15, 2018</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By:</w:t></w:r></w:p></w:tc><w:tc><w:tcPr><w:tcW w:w="11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/s/ David Burgstahler</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1100" w:type="pct"/><w:vAlign w:val="bottom"/><w:shd w:val="clear" w:fill="auto"/><w:noWrap/></w:tcPr><w:p><w:pPr><w:jc w:val="center"/><w:spacing w:before="0" w:after="0"/></w:pPr><w:r><w:rPr><w:rFonts w:ascii="Times New Roman" w:hAnsi="Times New Roman" w:eastAsia="Times New Roman" w:cs="Times New Roman"/><w:color w:val="000000"/><w:sz w:val="20"/><w:szCs w:val="20"/><w:b w:val="1"/><w:bCs w:val="1"/><w:shd w:val="clear" w:fill="auto"/></w:rPr><w:t xml:space="preserve">David Burgstahler</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1100" w:type="pct"/><w:vAlign w:val="bottom"/><w:shd w:val="clear" w:fill="auto"/><w:noWrap/></w:tcPr><w:p><w:pPr><w:jc w:val="center"/><w:spacing w:before="0" w:after="0"/></w:pPr><w:r><w:rPr><w:rFonts w:ascii="Times New Roman" w:hAnsi="Times New Roman" w:eastAsia="Times New Roman" w:cs="Times New Roman"/><w:color w:val="000000"/><w:sz w:val="20"/><w:szCs w:val="20"/><w:i w:val="1"/><w:iCs w:val="1"/><w:shd w:val="clear" w:fill="auto"/></w:rPr><w:t xml:space="preserve">President and Chief Executive Officer</w:t></w:r><w:br/><w:r><w:rPr><w:rFonts w:ascii="Times New Roman" w:hAnsi="Times New Roman" w:eastAsia="Times New Roman" w:cs="Times New Roman"/><w:color w:val="000000"/><w:sz w:val="20"/><w:szCs w:val="20"/><w:i w:val="1"/><w:iCs w:val="1"/><w:shd w:val="clear" w:fill="auto"/></w:rPr><w:t xml:space="preserve">(Principal Executive Officer)</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4600" w:type="pct"/><w:vAlign w:val="bottom"/><w:shd w:val="clear" w:fill="auto"/><w:gridSpan w:val="2"/><w:noWrap/></w:tcPr><w:p><w:pPr><w:jc w:val="center"/><w:spacing w:before="0" w:after="0"/></w:pPr><w:r><w:rPr><w:rFonts w:ascii="Times New Roman" w:hAnsi="Times New Roman" w:eastAsia="Times New Roman" w:cs="Times New Roman"/><w:sz w:val="20"/><w:szCs w:val="20"/><w:shd w:val="clear" w:fill="auto"/></w:rPr><w:t xml:space="preserve"> </w:t></w:r></w:p></w:tc></w:tr><w:tr><w:trPr/><w:tc><w:tcPr><w:tcW w:w="400" w:type="pct"/><w:vAlign w:val="bottom"/><w:shd w:val="clear" w:fill="auto"/><w:noWrap/></w:tcPr><w:p><w:pPr><w:jc w:val="center"/><w:ind w:left="0" w:right="0" w:firstLine="144" w:hanging="0"/><w:spacing w:before="0" w:after="0"/></w:pPr><w:r><w:rPr><w:rFonts w:ascii="Times New Roman" w:hAnsi="Times New Roman" w:eastAsia="Times New Roman" w:cs="Times New Roman"/><w:sz w:val="20"/><w:szCs w:val="20"/><w:shd w:val="clear" w:fill="auto"/></w:rPr><w:t xml:space="preserve">Date: October 15, 2018</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By: </w:t></w:r></w:p></w:tc><w:tc><w:tcPr><w:tcW w:w="11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/s/ John Cafasso</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1100" w:type="pct"/><w:vAlign w:val="bottom"/><w:shd w:val="clear" w:fill="auto"/><w:noWrap/></w:tcPr><w:p><w:pPr><w:jc w:val="center"/><w:spacing w:before="0" w:after="0"/></w:pPr><w:r><w:rPr><w:rFonts w:ascii="Times New Roman" w:hAnsi="Times New Roman" w:eastAsia="Times New Roman" w:cs="Times New Roman"/><w:color w:val="000000"/><w:sz w:val="20"/><w:szCs w:val="20"/><w:b w:val="1"/><w:bCs w:val="1"/><w:shd w:val="clear" w:fill="auto"/></w:rPr><w:t xml:space="preserve">John Cafasso</w:t></w:r></w:p></w:tc></w:tr><w:tr><w:trPr/><w:tc><w:tcPr><w:tcW w:w="4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3500" w:type="pct"/><w:vAlign w:val="bottom"/><w:shd w:val="clear" w:fill="auto"/><w:noWrap/></w:tcPr><w:p><w:pPr><w:jc w:val="center"/><w:spacing w:before="0" w:after="0"/></w:pPr><w:r><w:rPr><w:rFonts w:ascii="Times New Roman" w:hAnsi="Times New Roman" w:eastAsia="Times New Roman" w:cs="Times New Roman"/><w:sz w:val="20"/><w:szCs w:val="20"/><w:shd w:val="clear" w:fill="auto"/></w:rPr><w:t xml:space="preserve"> </w:t></w:r></w:p></w:tc><w:tc><w:tcPr><w:tcW w:w="1100" w:type="pct"/><w:vAlign w:val="bottom"/><w:shd w:val="clear" w:fill="auto"/><w:noWrap/></w:tcPr><w:p><w:pPr><w:jc w:val="center"/><w:spacing w:before="0" w:after="0"/></w:pPr><w:r><w:rPr><w:rFonts w:ascii="Times New Roman" w:hAnsi="Times New Roman" w:eastAsia="Times New Roman" w:cs="Times New Roman"/><w:color w:val="000000"/><w:sz w:val="20"/><w:szCs w:val="20"/><w:i w:val="1"/><w:iCs w:val="1"/><w:shd w:val="clear" w:fill="auto"/></w:rPr><w:t xml:space="preserve">Chief Financial Officer</w:t></w:r></w:p></w:tc></w:tr></w:tbl><w:p><w:pPr><w:spacing w:before="0" w:after="0"/></w:pPr><w:r><w:rPr><w:rFonts w:ascii="Times New Roman" w:hAnsi="Times New Roman" w:eastAsia="Times New Roman" w:cs="Times New Roman"/><w:sz w:val="20"/><w:szCs w:val="20"/></w:rPr><w:t xml:space="preserve"> </w:t></w:r></w:p><w:p><w:pPr><w:spacing w:before="0" w:after="0"/></w:pPr><w:r><w:rPr><w:rFonts w:ascii="Times New Roman" w:hAnsi="Times New Roman" w:eastAsia="Times New Roman" w:cs="Times New Roman"/><w:sz w:val="2"/><w:szCs w:val="2"/></w:rPr><w:t xml:space="preserve"> </w:t></w:r></w:p><w:p><w:pPr><w:spacing w:before="0" w:after="0"/></w:pPr><w:r><w:rPr><w:rFonts w:ascii="Times New Roman" w:hAnsi="Times New Roman" w:eastAsia="Times New Roman" w:cs="Times New Roman"/><w:sz w:val="20"/><w:szCs w:val="20"/></w:rPr><w:t xml:space="preserve"> </w:t></w:r></w:p><w:p><w:pPr/><w:r><w:rPr/><w:t xml:space="preserve"> </w:t></w:r></w:p><w:p><w:pPr><w:jc w:val="center"/><w:spacing w:before="120" w:after="120" w:line="240" w:lineRule="auto"/><w:pBdr><w:top w:val="single" w:sz="0"/><w:left w:val="single" w:sz="0"/><w:right w:val="single" w:sz="0"/><w:bottom w:val="single" w:sz="1" w:color="000000"/></w:pBdr></w:pPr><w:r><w:rPr><w:color w:val="000000"/><w:sz w:val="6"/><w:szCs w:val="6"/><w:shd w:val="clear" w:fill="000000"/></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c.gov/Archives/edgar/data/1661181/000110465917052981/a17-20799_3ex2d1.htm" TargetMode="External"/><Relationship Id="rId8" Type="http://schemas.openxmlformats.org/officeDocument/2006/relationships/hyperlink" Target="http://www.sec.gov/Archives/edgar/data/1661181/000110465917070245/a17-23010_4ex2d1.htm" TargetMode="External"/><Relationship Id="rId9" Type="http://schemas.openxmlformats.org/officeDocument/2006/relationships/hyperlink" Target="http://www.sec.gov/Archives/edgar/data/1661181/000110465917074930/a17-28895_1ex2d1.htm" TargetMode="External"/><Relationship Id="rId10" Type="http://schemas.openxmlformats.org/officeDocument/2006/relationships/hyperlink" Target="http://www.sec.gov/Archives/edgar/data/1661181/000110465918003136/a17-23010_15ex2d1.htm" TargetMode="External"/><Relationship Id="rId11" Type="http://schemas.openxmlformats.org/officeDocument/2006/relationships/hyperlink" Target="http://www.sec.gov/Archives/edgar/data/1661181/000104746918000693/a2234482zex-2_5.htm" TargetMode="External"/><Relationship Id="rId12" Type="http://schemas.openxmlformats.org/officeDocument/2006/relationships/hyperlink" Target="http://www.sec.gov/Archives/edgar/data/1661181/000155837018002068/ahpa-20171231ex265c99751.htm" TargetMode="External"/><Relationship Id="rId13" Type="http://schemas.openxmlformats.org/officeDocument/2006/relationships/hyperlink" Target="http://www.sec.gov/Archives/edgar/data/1661181/000104746916016121/a2230009zex-3_1.htm" TargetMode="External"/><Relationship Id="rId14" Type="http://schemas.openxmlformats.org/officeDocument/2006/relationships/hyperlink" Target="http://www.sec.gov/Archives/edgar/data/1661181/000104746916015230/a2229580zex-4_1.htm" TargetMode="External"/><Relationship Id="rId15" Type="http://schemas.openxmlformats.org/officeDocument/2006/relationships/hyperlink" Target="http://www.sec.gov/Archives/edgar/data/1661181/000104746916015230/a2229580zex-4_2.htm" TargetMode="External"/><Relationship Id="rId16" Type="http://schemas.openxmlformats.org/officeDocument/2006/relationships/hyperlink" Target="http://www.sec.gov/Archives/edgar/data/1661181/000104746916015230/a2229580zex-4_3.htm" TargetMode="External"/><Relationship Id="rId17" Type="http://schemas.openxmlformats.org/officeDocument/2006/relationships/hyperlink" Target="http://www.sec.gov/Archives/edgar/data/1661181/000104746916016121/a2230009zex-4_4.htm" TargetMode="External"/><Relationship Id="rId18" Type="http://schemas.openxmlformats.org/officeDocument/2006/relationships/hyperlink" Target="http://www.sec.gov/Archives/edgar/data/1661181/000104746916016121/a2230009zex-10_1.htm" TargetMode="External"/><Relationship Id="rId19" Type="http://schemas.openxmlformats.org/officeDocument/2006/relationships/hyperlink" Target="http://www.sec.gov/Archives/edgar/data/1661181/000104746916016121/a2230009zex-10_2.htm" TargetMode="External"/><Relationship Id="rId20" Type="http://schemas.openxmlformats.org/officeDocument/2006/relationships/hyperlink" Target="http://www.sec.gov/Archives/edgar/data/1661181/000104746916016121/a2230009zex-10_3.htm" TargetMode="External"/><Relationship Id="rId21" Type="http://schemas.openxmlformats.org/officeDocument/2006/relationships/hyperlink" Target="http://www.sec.gov/Archives/edgar/data/1661181/000104746916016121/a2230009zex-10_5.htm" TargetMode="External"/><Relationship Id="rId22" Type="http://schemas.openxmlformats.org/officeDocument/2006/relationships/hyperlink" Target="http://www.sec.gov/Archives/edgar/data/1661181/000104746916016121/a2230009zex-10_4.htm" TargetMode="External"/><Relationship Id="rId23" Type="http://schemas.openxmlformats.org/officeDocument/2006/relationships/hyperlink" Target="http://www.sec.gov/Archives/edgar/data/1661181/000104746916015230/a2229580zex-10_7.htm" TargetMode="External"/><Relationship Id="rId24" Type="http://schemas.openxmlformats.org/officeDocument/2006/relationships/hyperlink" Target="http://www.sec.gov/Archives/edgar/data/1661181/000104746916015230/a2229580zex-10_1.htm" TargetMode="External"/><Relationship Id="rId25" Type="http://schemas.openxmlformats.org/officeDocument/2006/relationships/hyperlink" Target="http://www.sec.gov/Archives/edgar/data/1661181/000104746916015230/a2229580zex-10_5.htm" TargetMode="External"/><Relationship Id="rId26" Type="http://schemas.openxmlformats.org/officeDocument/2006/relationships/hyperlink" Target="http://www.sec.gov/Archives/edgar/data/1661181/000110465917052981/a17-20799_3ex10d10.htm" TargetMode="External"/><Relationship Id="rId27" Type="http://schemas.openxmlformats.org/officeDocument/2006/relationships/hyperlink" Target="http://www.sec.gov/Archives/edgar/data/1661181/000155837018002068/ahpa-20171231x10k.htm" TargetMode="External"/><Relationship Id="rId28" Type="http://schemas.openxmlformats.org/officeDocument/2006/relationships/hyperlink" Target="ex-31d1.htm" TargetMode="External"/><Relationship Id="rId29" Type="http://schemas.openxmlformats.org/officeDocument/2006/relationships/hyperlink" Target="ex-31d2.htm" TargetMode="External"/><Relationship Id="rId30" Type="http://schemas.openxmlformats.org/officeDocument/2006/relationships/hyperlink" Target="http://www.sec.gov/Archives/edgar/data/1661181/000155837018002068/ahpa-20171231ex321a46d0d.htm" TargetMode="External"/><Relationship Id="rId31" Type="http://schemas.openxmlformats.org/officeDocument/2006/relationships/hyperlink" Target="http://www.sec.gov/Archives/edgar/data/1661181/000155837018002068/ahpa-20171231ex32276b15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2026-08-08T03:40:34-04:00</dcterms:created>
  <dcterms:modified xsi:type="dcterms:W3CDTF">2026-08-08T03:40:34-04:00</dcterms:modified>
</cp:coreProperties>
</file>

<file path=docProps/custom.xml><?xml version="1.0" encoding="utf-8"?>
<Properties xmlns="http://schemas.openxmlformats.org/officeDocument/2006/custom-properties" xmlns:vt="http://schemas.openxmlformats.org/officeDocument/2006/docPropsVTypes"/>
</file>