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5"/><w:jc w:val="start"/></w:pPr><w:hyperlink w:anchor="toc_page" w:history="1"><w:r><w:rPr/><w:t xml:space="preserve">Table of Contents</w:t></w:r></w:hyperlink></w:p><w:p><w:pPr><w:jc w:val="end"/><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0" w:after="0" w:line="20" w:lineRule="exact"/></w:pPr><w:r><w:rPr><w:rFonts w:ascii="Times New Roman" w:hAnsi="Times New Roman" w:eastAsia="Times New Roman" w:cs="Times New Roman"/><w:sz w:val="20"/><w:szCs w:val="20"/></w:rPr><w:t xml:space="preserve"> </w:t></w:r></w:p><w:p><w:pPr><w:jc w:val="center"/><w:ind w:left="0" w:right="0" w:firstLine="0" w:hanging="0"/><w:spacing w:before="0" w:after="0" w:line="20" w:lineRule="exact"/></w:pPr><w:r><w:rPr><w:rFonts w:ascii="Times New Roman" w:hAnsi="Times New Roman" w:eastAsia="Times New Roman" w:cs="Times New Roman"/><w:sz w:val="20"/><w:szCs w:val="20"/></w:rPr><w:t xml:space="preserve"> </w:t></w:r></w:p><w:p><w:pPr><w:jc w:val="center"/><w:ind w:left="0" w:right="0" w:firstLine="0" w:hanging="0"/><w:spacing w:before="40" w:after="0" w:line="248.39999999999998" w:lineRule="auto"/></w:pPr><w:r><w:rPr><w:rFonts w:ascii="Times New Roman" w:hAnsi="Times New Roman" w:eastAsia="Times New Roman" w:cs="Times New Roman"/><w:color w:val="rgba(0,0,0,1)"/><w:sz w:val="36"/><w:szCs w:val="36"/><w:b w:val="1"/><w:bCs w:val="1"/><w:shd w:val="clear" w:fill="rgba(0,0,0,0)"/></w:rPr><w:t xml:space="preserve">UNITED STATES</w:t></w:r><w:r><w:rPr><w:rFonts w:ascii="Times New Roman" w:hAnsi="Times New Roman" w:eastAsia="Times New Roman" w:cs="Times New Roman"/><w:color w:val="rgba(0,0,0,1)"/><w:sz w:val="36"/><w:szCs w:val="36"/><w:b w:val="1"/><w:bCs w:val="1"/></w:rPr><w:t xml:space="preserve"> </w:t></w:r></w:p><w:p><w:pPr><w:jc w:val="center"/><w:ind w:left="0" w:right="0" w:firstLine="0" w:hanging="0"/><w:spacing w:before="0" w:after="0" w:line="248.39999999999998" w:lineRule="auto"/></w:pPr><w:r><w:rPr><w:rFonts w:ascii="Times New Roman" w:hAnsi="Times New Roman" w:eastAsia="Times New Roman" w:cs="Times New Roman"/><w:color w:val="rgba(0,0,0,1)"/><w:sz w:val="36"/><w:szCs w:val="36"/><w:b w:val="1"/><w:bCs w:val="1"/><w:shd w:val="clear" w:fill="rgba(0,0,0,0)"/></w:rPr><w:t xml:space="preserve">SECURITIES AND EXCHANGE COMMISSION</w:t></w:r><w:r><w:rPr><w:rFonts w:ascii="Times New Roman" w:hAnsi="Times New Roman" w:eastAsia="Times New Roman" w:cs="Times New Roman"/><w:color w:val="rgba(0,0,0,1)"/><w:sz w:val="36"/><w:szCs w:val="36"/><w:b w:val="1"/><w:bCs w:val="1"/></w:rPr><w:t xml:space="preserve"> </w:t></w:r></w:p><w:p><w:pPr><w:jc w:val="center"/><w:ind w:left="0" w:right="0" w:firstLine="0" w:hanging="0"/><w:spacing w:before="0" w:after="0" w:line="248.39999999999998" w:lineRule="auto"/></w:pPr><w:r><w:rPr><w:rFonts w:ascii="Times New Roman" w:hAnsi="Times New Roman" w:eastAsia="Times New Roman" w:cs="Times New Roman"/><w:color w:val="rgba(0,0,0,1)"/><w:sz w:val="22"/><w:szCs w:val="22"/><w:b w:val="1"/><w:bCs w:val="1"/><w:shd w:val="clear" w:fill="rgba(0,0,0,0)"/></w:rPr><w:t xml:space="preserve">WASHINGTON</w:t></w:r><w:r><w:rPr><w:rFonts w:ascii="Times New Roman" w:hAnsi="Times New Roman" w:eastAsia="Times New Roman" w:cs="Times New Roman"/><w:color w:val="rgba(0,0,0,1)"/><w:sz w:val="24"/><w:szCs w:val="24"/><w:b w:val="1"/><w:bCs w:val="1"/><w:shd w:val="clear" w:fill="rgba(0,0,0,0)"/></w:rPr><w:t xml:space="preserve">, DC 20549</w:t></w:r><w:r><w:rPr><w:rFonts w:ascii="Times New Roman" w:hAnsi="Times New Roman" w:eastAsia="Times New Roman" w:cs="Times New Roman"/><w:color w:val="rgba(0,0,0,1)"/><w:sz w:val="24"/><w:szCs w:val="24"/><w:b w:val="1"/><w:bCs w:val="1"/></w:rPr><w:t xml:space="preserve"> </w:t></w:r></w:p><w:p><w:pPr><w:jc w:val="center"/><w:ind w:left="0" w:right="0" w:firstLine="0" w:hanging="0"/><w:spacing w:before="0" w:after="0" w:line="248.39999999999998" w:lineRule="auto"/></w:pPr><w:r><w:rPr><w:rFonts w:ascii="Times New Roman" w:hAnsi="Times New Roman" w:eastAsia="Times New Roman" w:cs="Times New Roman"/><w:color w:val="rgba(0,0,0,1)"/><w:sz w:val="8"/><w:szCs w:val="8"/><w:b w:val="0"/><w:bCs w:val="0"/></w:rPr><w:t xml:space="preserve"> </w:t></w:r><w:r><w:rPr><w:rFonts w:ascii="Times New Roman" w:hAnsi="Times New Roman" w:eastAsia="Times New Roman" w:cs="Times New Roman"/><w:sz w:val="20"/><w:szCs w:val="20"/></w:rPr><w:t xml:space="preserve"> </w:t></w:r></w:p><w:p><w:pPr><w:jc w:val="center"/><w:ind w:left="0" w:right="0" w:firstLine="0" w:hanging="0"/><w:spacing w:before="80" w:after="0" w:line="248.39999999999998" w:lineRule="auto"/></w:pPr><w:r><w:rPr><w:rFonts w:ascii="Times New Roman" w:hAnsi="Times New Roman" w:eastAsia="Times New Roman" w:cs="Times New Roman"/><w:color w:val="rgba(0,0,0,1)"/><w:sz w:val="36"/><w:szCs w:val="36"/><w:b w:val="1"/><w:bCs w:val="1"/><w:shd w:val="clear" w:fill="rgba(0,0,0,0)"/></w:rPr><w:t xml:space="preserve">FORM </w:t></w:r><w:r><w:rPr><w:rFonts w:ascii="Times New Roman" w:hAnsi="Times New Roman" w:eastAsia="Times New Roman" w:cs="Times New Roman"/><w:color w:val="rgba(0,0,0,1)"/><w:sz w:val="36"/><w:szCs w:val="36"/><w:b w:val="1"/><w:bCs w:val="1"/><w:shd w:val="clear" w:fill="rgba(0,0,0,0)"/></w:rPr><w:t xml:space="preserve">10-Q</w:t></w:r><w:r><w:rPr><w:rFonts w:ascii="Times New Roman" w:hAnsi="Times New Roman" w:eastAsia="Times New Roman" w:cs="Times New Roman"/><w:color w:val="rgba(0,0,0,1)"/><w:sz w:val="36"/><w:szCs w:val="36"/><w:b w:val="1"/><w:bCs w:val="1"/></w:rPr><w:t xml:space="preserve"> </w:t></w:r></w:p><w:p><w:pPr><w:jc w:val="center"/><w:ind w:left="0" w:right="0" w:firstLine="0" w:hanging="0"/><w:spacing w:before="0" w:after="0" w:line="248.39999999999998" w:lineRule="auto"/></w:pPr><w:r><w:rPr><w:rFonts w:ascii="Times New Roman" w:hAnsi="Times New Roman" w:eastAsia="Times New Roman" w:cs="Times New Roman"/><w:color w:val="rgba(0,0,0,1)"/><w:sz w:val="8"/><w:szCs w:val="8"/><w:b w:val="0"/><w:bCs w:val="0"/></w:rPr><w:t xml:space="preserve"> </w:t></w:r><w:r><w:rPr><w:rFonts w:ascii="Times New Roman" w:hAnsi="Times New Roman" w:eastAsia="Times New Roman" w:cs="Times New Roman"/><w:sz w:val="20"/><w:szCs w:val="20"/></w:rPr><w:t xml:space="preserve"> </w:t></w:r></w:p><w:p><w:pPr><w:jc w:val="start"/><w:ind w:left="0" w:right="0" w:firstLine="0" w:hanging="0"/><w:spacing w:before="80" w:after="0" w:line="248.39999999999998" w:lineRule="auto"/></w:pPr><w:r><w:rPr><w:rFonts w:ascii="Times New Roman" w:hAnsi="Times New Roman" w:eastAsia="Times New Roman" w:cs="Times New Roman"/><w:color w:val="rgba(0,0,0,1)"/><w:sz w:val="20"/><w:szCs w:val="20"/><w:b w:val="1"/><w:bCs w:val="1"/><w:shd w:val="clear" w:fill="rgba(0,0,0,0)"/></w:rPr><w:t xml:space="preserve">(Mark One)</w:t></w:r><w:r><w:rPr><w:rFonts w:ascii="Times New Roman" w:hAnsi="Times New Roman" w:eastAsia="Times New Roman" w:cs="Times New Roman"/><w:color w:val="rgba(0,0,0,1)"/><w:sz w:val="20"/><w:szCs w:val="20"/><w:b w:val="1"/><w:bCs w:val="1"/></w:rPr><w:t xml:space="preserve"> </w:t></w:r></w:p><w:p><w:pPr><w:jc w:val="start"/><w:ind w:left="0" w:right="0" w:firstLine="0" w:hanging="0"/><w:spacing w:before="0" w:after="0" w:line="248.39999999999998" w:lineRule="auto"/></w:pPr><w:r><w:rPr><w:rFonts w:ascii="Segoe UI Symbol" w:hAnsi="Segoe UI Symbol" w:eastAsia="Segoe UI Symbol" w:cs="Segoe UI Symbol"/><w:color w:val="rgba(0,0,0,1)"/><w:sz w:val="20"/><w:szCs w:val="20"/><w:b w:val="0"/><w:bCs w:val="0"/><w:shd w:val="clear" w:fill="rgba(0,0,0,0)"/></w:rPr><w:t xml:space="preserve">☒ </w:t></w:r><w:r><w:rPr><w:rFonts w:ascii="Times New Roman" w:hAnsi="Times New Roman" w:eastAsia="Times New Roman" w:cs="Times New Roman"/><w:color w:val="rgba(0,0,0,1)"/><w:sz w:val="20"/><w:szCs w:val="20"/><w:b w:val="1"/><w:bCs w:val="1"/><w:shd w:val="clear" w:fill="rgba(0,0,0,0)"/></w:rPr><w:t xml:space="preserve">QUARTERLY REPORT PURSUANT TO SECTION 13 OR 15(d) OF THE SECURITIES EXCHANGE ACT OF 1934</w:t></w:r><w:r><w:rPr><w:rFonts w:ascii="Times New Roman" w:hAnsi="Times New Roman" w:eastAsia="Times New Roman" w:cs="Times New Roman"/><w:color w:val="rgba(0,0,0,1)"/><w:sz w:val="20"/><w:szCs w:val="20"/><w:b w:val="1"/><w:bCs w:val="1"/></w:rPr><w:t xml:space="preserve"> </w:t></w:r></w:p><w:p><w:pPr><w:jc w:val="center"/><w:ind w:left="0" w:right="0" w:firstLine="0" w:hanging="0"/><w:spacing w:before="80" w:after="0" w:line="248.39999999999998" w:lineRule="auto"/></w:pPr><w:r><w:rPr><w:rFonts w:ascii="Times New Roman" w:hAnsi="Times New Roman" w:eastAsia="Times New Roman" w:cs="Times New Roman"/><w:color w:val="rgba(0,0,0,1)"/><w:sz w:val="20"/><w:szCs w:val="20"/><w:b w:val="1"/><w:bCs w:val="1"/><w:shd w:val="clear" w:fill="rgba(0,0,0,0)"/></w:rPr><w:t xml:space="preserve">For the Quarterly Period Ended </w:t></w:r><w:r><w:rPr><w:rFonts w:ascii="Times New Roman" w:hAnsi="Times New Roman" w:eastAsia="Times New Roman" w:cs="Times New Roman"/><w:color w:val="rgba(0,0,0,1)"/><w:sz w:val="20"/><w:szCs w:val="20"/><w:b w:val="1"/><w:bCs w:val="1"/><w:shd w:val="clear" w:fill="rgba(0,0,0,0)"/></w:rPr><w:t xml:space="preserve">June 30, </w:t></w:r><w:r><w:rPr><w:rFonts w:ascii="Times New Roman" w:hAnsi="Times New Roman" w:eastAsia="Times New Roman" w:cs="Times New Roman"/><w:color w:val="rgba(0,0,0,1)"/><w:sz w:val="20"/><w:szCs w:val="20"/><w:b w:val="1"/><w:bCs w:val="1"/><w:shd w:val="clear" w:fill="rgba(0,0,0,0)"/></w:rPr><w:t xml:space="preserve">2022</w:t></w:r><w:r><w:rPr><w:rFonts w:ascii="Times New Roman" w:hAnsi="Times New Roman" w:eastAsia="Times New Roman" w:cs="Times New Roman"/><w:color w:val="rgba(0,0,0,1)"/><w:sz w:val="20"/><w:szCs w:val="20"/><w:b w:val="1"/><w:bCs w:val="1"/></w:rPr><w:t xml:space="preserve"> </w:t></w:r></w:p><w:p><w:pPr><w:jc w:val="center"/><w:ind w:left="0" w:right="0" w:firstLine="0" w:hanging="0"/><w:spacing w:before="80" w:after="0" w:line="248.39999999999998" w:lineRule="auto"/></w:pPr><w:r><w:rPr><w:rFonts w:ascii="Times New Roman" w:hAnsi="Times New Roman" w:eastAsia="Times New Roman" w:cs="Times New Roman"/><w:color w:val="rgba(0,0,0,1)"/><w:sz w:val="20"/><w:szCs w:val="20"/><w:b w:val="1"/><w:bCs w:val="1"/><w:shd w:val="clear" w:fill="rgba(0,0,0,0)"/></w:rPr><w:t xml:space="preserve">OR</w:t></w:r><w:r><w:rPr><w:rFonts w:ascii="Times New Roman" w:hAnsi="Times New Roman" w:eastAsia="Times New Roman" w:cs="Times New Roman"/><w:color w:val="rgba(0,0,0,1)"/><w:sz w:val="20"/><w:szCs w:val="20"/><w:b w:val="1"/><w:bCs w:val="1"/></w:rPr><w:t xml:space="preserve"> </w:t></w:r></w:p><w:p><w:pPr><w:jc w:val="start"/><w:ind w:left="0" w:right="0" w:firstLine="0" w:hanging="0"/><w:spacing w:before="80" w:after="0" w:line="248.39999999999998" w:lineRule="auto"/></w:pPr><w:r><w:rPr><w:rFonts w:ascii="Segoe UI Symbol" w:hAnsi="Segoe UI Symbol" w:eastAsia="Segoe UI Symbol" w:cs="Segoe UI Symbol"/><w:color w:val="rgba(0,0,0,1)"/><w:sz w:val="20"/><w:szCs w:val="20"/><w:b w:val="0"/><w:bCs w:val="0"/><w:shd w:val="clear" w:fill="rgba(0,0,0,0)"/></w:rPr><w:t xml:space="preserve">☐ </w:t></w:r><w:r><w:rPr><w:rFonts w:ascii="Times New Roman" w:hAnsi="Times New Roman" w:eastAsia="Times New Roman" w:cs="Times New Roman"/><w:color w:val="rgba(0,0,0,1)"/><w:sz w:val="20"/><w:szCs w:val="20"/><w:b w:val="1"/><w:bCs w:val="1"/><w:shd w:val="clear" w:fill="rgba(0,0,0,0)"/></w:rPr><w:t xml:space="preserve">TRANSITION REPORT PURSUANT TO SECTION 13 OR 15(d) OF THE SECURITIES EXCHANGE ACT OF 1934</w:t></w:r><w:r><w:rPr><w:rFonts w:ascii="Times New Roman" w:hAnsi="Times New Roman" w:eastAsia="Times New Roman" w:cs="Times New Roman"/><w:color w:val="rgba(0,0,0,1)"/><w:sz w:val="20"/><w:szCs w:val="20"/><w:b w:val="1"/><w:bCs w:val="1"/></w:rPr><w:t xml:space="preserve"> </w:t></w:r></w:p><w:p><w:pPr><w:jc w:val="center"/><w:ind w:left="0" w:right="0" w:firstLine="0" w:hanging="0"/><w:spacing w:before="80" w:after="0" w:line="248.39999999999998" w:lineRule="auto"/></w:pPr><w:r><w:rPr><w:rFonts w:ascii="Times New Roman" w:hAnsi="Times New Roman" w:eastAsia="Times New Roman" w:cs="Times New Roman"/><w:color w:val="rgba(0,0,0,1)"/><w:sz w:val="20"/><w:szCs w:val="20"/><w:b w:val="1"/><w:bCs w:val="1"/><w:shd w:val="clear" w:fill="rgba(0,0,0,0)"/></w:rPr><w:t xml:space="preserve">Commission File Number </w:t></w:r><w:r><w:rPr><w:rFonts w:ascii="Times New Roman" w:hAnsi="Times New Roman" w:eastAsia="Times New Roman" w:cs="Times New Roman"/><w:color w:val="rgba(0,0,0,1)"/><w:sz w:val="20"/><w:szCs w:val="20"/><w:b w:val="1"/><w:bCs w:val="1"/><w:shd w:val="clear" w:fill="rgba(0,0,0,0)"/></w:rPr><w:t xml:space="preserve">001-37906</w:t></w:r><w:r><w:rPr><w:rFonts w:ascii="Times New Roman" w:hAnsi="Times New Roman" w:eastAsia="Times New Roman" w:cs="Times New Roman"/><w:color w:val="rgba(0,0,0,1)"/><w:sz w:val="20"/><w:szCs w:val="20"/><w:b w:val="1"/><w:bCs w:val="1"/></w:rPr><w:t xml:space="preserve"> </w:t></w:r></w:p><w:p><w:pPr><w:jc w:val="center"/><w:ind w:left="0" w:right="0" w:firstLine="0" w:hanging="0"/><w:spacing w:before="0" w:after="0" w:line="248.39999999999998" w:lineRule="auto"/></w:pPr><w:r><w:rPr><w:rFonts w:ascii="Times New Roman" w:hAnsi="Times New Roman" w:eastAsia="Times New Roman" w:cs="Times New Roman"/><w:color w:val="rgba(0,0,0,1)"/><w:sz w:val="8"/><w:szCs w:val="8"/><w:b w:val="0"/><w:bCs w:val="0"/></w:rPr><w:t xml:space="preserve"> </w:t></w:r><w:r><w:rPr><w:rFonts w:ascii="Times New Roman" w:hAnsi="Times New Roman" w:eastAsia="Times New Roman" w:cs="Times New Roman"/><w:sz w:val="20"/><w:szCs w:val="20"/></w:rPr><w:t xml:space="preserve"> </w:t></w:r></w:p><w:p><w:pPr><w:jc w:val="center"/><w:ind w:left="0" w:right="0" w:firstLine="0" w:hanging="0"/><w:spacing w:before="80" w:after="0" w:line="248.39999999999998" w:lineRule="auto"/></w:pPr><w:r><w:rPr><w:rFonts w:ascii="Times New Roman" w:hAnsi="Times New Roman" w:eastAsia="Times New Roman" w:cs="Times New Roman"/><w:color w:val="rgba(0,0,0,1)"/><w:sz w:val="46"/><w:szCs w:val="46"/><w:b w:val="1"/><w:bCs w:val="1"/><w:shd w:val="clear" w:fill="rgba(0,0,0,0)"/></w:rPr><w:t xml:space="preserve">ORGANOGENESIS HOLDINGS INC.</w:t></w:r><w:r><w:rPr><w:rFonts w:ascii="Times New Roman" w:hAnsi="Times New Roman" w:eastAsia="Times New Roman" w:cs="Times New Roman"/><w:color w:val="rgba(0,0,0,1)"/><w:sz w:val="46"/><w:szCs w:val="46"/><w:b w:val="1"/><w:bCs w:val="1"/></w:rPr><w:t xml:space="preserve"> </w:t></w:r></w:p><w:p><w:pPr><w:jc w:val="center"/><w:ind w:left="0" w:right="0" w:firstLine="0" w:hanging="0"/><w:spacing w:before="0" w:after="0" w:line="248.39999999999998" w:lineRule="auto"/></w:pPr><w:r><w:rPr><w:rFonts w:ascii="Times New Roman" w:hAnsi="Times New Roman" w:eastAsia="Times New Roman" w:cs="Times New Roman"/><w:color w:val="rgba(0,0,0,1)"/><w:sz w:val="20"/><w:szCs w:val="20"/><w:b w:val="1"/><w:bCs w:val="1"/><w:shd w:val="clear" w:fill="rgba(0,0,0,0)"/></w:rPr><w:t xml:space="preserve">(Exact Name of Registrant as Specified in Its Charter)</w:t></w:r><w:r><w:rPr><w:rFonts w:ascii="Times New Roman" w:hAnsi="Times New Roman" w:eastAsia="Times New Roman" w:cs="Times New Roman"/><w:color w:val="rgba(0,0,0,1)"/><w:sz w:val="20"/><w:szCs w:val="20"/><w:b w:val="1"/><w:bCs w:val="1"/></w:rPr><w:t xml:space="preserve"> </w:t></w:r></w:p><w:p><w:pPr><w:jc w:val="center"/><w:ind w:left="0" w:right="0" w:firstLine="0" w:hanging="0"/><w:spacing w:before="0" w:after="0" w:line="248.39999999999998" w:lineRule="auto"/></w:pPr><w:r><w:rPr><w:rFonts w:ascii="Times New Roman" w:hAnsi="Times New Roman" w:eastAsia="Times New Roman" w:cs="Times New Roman"/><w:color w:val="rgba(0,0,0,1)"/><w:sz w:val="8"/><w:szCs w:val="8"/><w:b w:val="0"/><w:bCs w:val="0"/></w:rPr><w:t xml:space="preserve"> </w:t></w: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color w:val="rgba(0,0,0,1)"/><w:sz w:val="8"/><w:szCs w:val="8"/><w:b w:val="0"/><w:bCs w:val="0"/></w:rPr><w:t xml:space="preserve"> </w:t></w:r><w:r><w:rPr><w:rFonts w:ascii="Times New Roman" w:hAnsi="Times New Roman" w:eastAsia="Times New Roman" w:cs="Times New Roman"/><w:sz w:val="20"/><w:szCs w:val="20"/></w:rPr><w:t xml:space="preserve"> </w:t></w:r></w:p><w:tbl><w:tblGrid><w:gridCol w:w="0" w:type="dxa"/><w:gridCol w:w="0" w:type="dxa"/></w:tblGrid><w:tblPr><w:tblW w:w="0" w:type="pct"/><w:tblLayout w:type="autofit"/></w:tblPr><w:tr><w:trPr/><w:tc><w:tcPr><w:tcW w:w="0" w:type="pct"/><w:noWrap/></w:tcPr><w:p><w:pPr/></w:p></w:tc><w:tc><w:tcPr><w:tcW w:w="0" w:type="pct"/><w:noWrap/></w:tcPr><w:p><w:pPr/></w:p></w:tc></w:tr><w:tr><w:trPr><w:trHeight w:val="200" w:hRule="exact"/></w:trPr><w:tc><w:tcPr><w:tcW w:w="0" w:type="pct"/><w:vAlign w:val="top"/><w:shd w:val="clear" w:fill="rgba(0,0,0,0)"/><w:noWrap/></w:tcPr><w:p><w:pPr><w:jc w:val="center"/><w:ind w:left="0" w:right="0" w:firstLine="0" w:hanging="0"/><w:spacing w:before="0" w:after="0" w:line="252" w:lineRule="auto"/></w:pPr><w:r><w:rPr><w:rFonts w:ascii="Times New Roman" w:hAnsi="Times New Roman" w:eastAsia="Times New Roman" w:cs="Times New Roman"/><w:color w:val="rgba(0,0,0,1)"/><w:sz w:val="20"/><w:szCs w:val="20"/><w:b w:val="1"/><w:bCs w:val="1"/><w:shd w:val="clear" w:fill="rgba(0,0,0,0)"/></w:rPr><w:t xml:space="preserve">Delaware</w:t></w:r></w:p></w:tc><w:tc><w:tcPr><w:tcW w:w="0" w:type="pct"/><w:vAlign w:val="top"/><w:shd w:val="clear" w:fill="rgba(0,0,0,0)"/><w:noWrap/></w:tcPr><w:p><w:pPr><w:jc w:val="center"/><w:ind w:left="0" w:right="0" w:firstLine="0" w:hanging="0"/><w:spacing w:before="0" w:after="0" w:line="252" w:lineRule="auto"/></w:pPr><w:r><w:rPr><w:rFonts w:ascii="Times New Roman" w:hAnsi="Times New Roman" w:eastAsia="Times New Roman" w:cs="Times New Roman"/><w:color w:val="rgba(0,0,0,1)"/><w:sz w:val="20"/><w:szCs w:val="20"/><w:b w:val="1"/><w:bCs w:val="1"/><w:shd w:val="clear" w:fill="rgba(0,0,0,0)"/></w:rPr><w:t xml:space="preserve">98-1329150</w:t></w:r></w:p></w:tc></w:tr><w:tr><w:trPr><w:trHeight w:val="160" w:hRule="exact"/></w:trPr><w:tc><w:tcPr><w:tcW w:w="0" w:type="pct"/><w:vAlign w:val="top"/><w:shd w:val="clear" w:fill="rgba(0,0,0,0)"/><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(State or Other Jurisdiction of</w:t></w:r></w:p><w:p><w:pPr><w:jc w:val="center"/><w:ind w:left="0" w:right="0" w:firstLine="0" w:hanging="0"/><w:spacing w:before="0" w:after="20" w:line="252" w:lineRule="auto"/></w:pPr><w:r><w:rPr><w:rFonts w:ascii="Times New Roman" w:hAnsi="Times New Roman" w:eastAsia="Times New Roman" w:cs="Times New Roman"/><w:color w:val="rgba(0,0,0,1)"/><w:sz w:val="16"/><w:szCs w:val="16"/><w:b w:val="1"/><w:bCs w:val="1"/><w:shd w:val="clear" w:fill="rgba(0,0,0,0)"/></w:rPr><w:t xml:space="preserve">Incorporation or Organization)</w:t></w:r></w:p></w:tc><w:tc><w:tcPr><w:tcW w:w="0" w:type="pct"/><w:vAlign w:val="top"/><w:shd w:val="clear" w:fill="rgba(0,0,0,0)"/><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(I.R.S. Employer</w:t></w:r></w:p><w:p><w:pPr><w:jc w:val="center"/><w:ind w:left="0" w:right="0" w:firstLine="0" w:hanging="0"/><w:spacing w:before="0" w:after="20" w:line="252" w:lineRule="auto"/></w:pPr><w:r><w:rPr><w:rFonts w:ascii="Times New Roman" w:hAnsi="Times New Roman" w:eastAsia="Times New Roman" w:cs="Times New Roman"/><w:color w:val="rgba(0,0,0,1)"/><w:sz w:val="16"/><w:szCs w:val="16"/><w:b w:val="1"/><w:bCs w:val="1"/><w:shd w:val="clear" w:fill="rgba(0,0,0,0)"/></w:rPr><w:t xml:space="preserve">Identification No.)</w:t></w:r></w:p></w:tc></w:tr><w:tr><w:trPr/><w:tc><w:tcPr><w:tcW w:w="0" w:type="pct"/><w:vAlign w:val="top"/><w:shd w:val="clear" w:fill="rgba(0,0,0,0)"/><w:noWrap/></w:tcPr><w:p><w:pPr><w:jc w:val="center"/><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top"/><w:shd w:val="clear" w:fill="rgba(0,0,0,0)"/><w:noWrap/></w:tcPr><w:p><w:pPr><w:jc w:val="center"/><w:ind w:left="0" w:right="0" w:firstLine="0" w:hanging="0"/><w:spacing w:before="0" w:after="0" w:line="252" w:lineRule="auto"/></w:pPr><w:r><w:rPr><w:rFonts w:ascii="Times New Roman" w:hAnsi="Times New Roman" w:eastAsia="Times New Roman" w:cs="Times New Roman"/><w:color w:val="rgba(0,0,0,1)"/><w:sz w:val="20"/><w:szCs w:val="20"/><w:b w:val="1"/><w:bCs w:val="1"/><w:shd w:val="clear" w:fill="rgba(0,0,0,0)"/></w:rPr><w:t xml:space="preserve">85 Dan Road</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top"/><w:shd w:val="clear" w:fill="rgba(0,0,0,0)"/><w:noWrap/></w:tcPr><w:p><w:pPr><w:jc w:val="center"/><w:ind w:left="0" w:right="0" w:firstLine="0" w:hanging="0"/><w:spacing w:before="0" w:after="0" w:line="252" w:lineRule="auto"/></w:pPr><w:r><w:rPr><w:rFonts w:ascii="Times New Roman" w:hAnsi="Times New Roman" w:eastAsia="Times New Roman" w:cs="Times New Roman"/><w:color w:val="rgba(0,0,0,1)"/><w:sz w:val="20"/><w:szCs w:val="20"/><w:b w:val="1"/><w:bCs w:val="1"/><w:shd w:val="clear" w:fill="rgba(0,0,0,0)"/></w:rPr><w:t xml:space="preserve">Canton</w:t></w:r><w:r><w:rPr><w:rFonts w:ascii="Times New Roman" w:hAnsi="Times New Roman" w:eastAsia="Times New Roman" w:cs="Times New Roman"/><w:color w:val="rgba(0,0,0,1)"/><w:sz w:val="20"/><w:szCs w:val="20"/><w:b w:val="1"/><w:bCs w:val="1"/><w:shd w:val="clear" w:fill="rgba(0,0,0,0)"/></w:rPr><w:t xml:space="preserve">, </w:t></w:r><w:r><w:rPr><w:rFonts w:ascii="Times New Roman" w:hAnsi="Times New Roman" w:eastAsia="Times New Roman" w:cs="Times New Roman"/><w:color w:val="rgba(0,0,0,1)"/><w:sz w:val="20"/><w:szCs w:val="20"/><w:b w:val="1"/><w:bCs w:val="1"/><w:shd w:val="clear" w:fill="rgba(0,0,0,0)"/></w:rPr><w:t xml:space="preserve">MA</w:t></w:r><w:r><w:rPr><w:rFonts w:ascii="Times New Roman" w:hAnsi="Times New Roman" w:eastAsia="Times New Roman" w:cs="Times New Roman"/><w:color w:val="rgba(0,0,0,1)"/><w:sz w:val="20"/><w:szCs w:val="20"/><w:b w:val="1"/><w:bCs w:val="1"/><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1"/><w:bCs w:val="1"/><w:shd w:val="clear" w:fill="rgba(0,0,0,0)"/></w:rPr><w:t xml:space="preserve">02021</w:t></w: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                                    (Address of principal executive offices)</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(Zip Code)</w:t></w:r></w:p></w:tc></w:tr></w:tbl><w:p><w:pPr><w:jc w:val="center"/><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40" w:after="0" w:line="276" w:lineRule="auto"/></w:pPr><w:r><w:rPr><w:rFonts w:ascii="Times New Roman" w:hAnsi="Times New Roman" w:eastAsia="Times New Roman" w:cs="Times New Roman"/><w:color w:val="rgba(0,0,0,1)"/><w:sz w:val="20"/><w:szCs w:val="20"/><w:b w:val="1"/><w:bCs w:val="1"/><w:shd w:val="clear" w:fill="rgba(0,0,0,0)"/></w:rPr><w:t xml:space="preserve">(</w:t></w:r><w:r><w:rPr><w:rFonts w:ascii="Times New Roman" w:hAnsi="Times New Roman" w:eastAsia="Times New Roman" w:cs="Times New Roman"/><w:color w:val="rgba(0,0,0,1)"/><w:sz w:val="20"/><w:szCs w:val="20"/><w:b w:val="1"/><w:bCs w:val="1"/><w:shd w:val="clear" w:fill="rgba(0,0,0,0)"/></w:rPr><w:t xml:space="preserve">781</w:t></w:r><w:r><w:rPr><w:rFonts w:ascii="Times New Roman" w:hAnsi="Times New Roman" w:eastAsia="Times New Roman" w:cs="Times New Roman"/><w:color w:val="rgba(0,0,0,1)"/><w:sz w:val="20"/><w:szCs w:val="20"/><w:b w:val="1"/><w:bCs w:val="1"/><w:shd w:val="clear" w:fill="rgba(0,0,0,0)"/></w:rPr><w:t xml:space="preserve">) </w:t></w:r><w:r><w:rPr><w:rFonts w:ascii="Times New Roman" w:hAnsi="Times New Roman" w:eastAsia="Times New Roman" w:cs="Times New Roman"/><w:color w:val="rgba(0,0,0,1)"/><w:sz w:val="20"/><w:szCs w:val="20"/><w:b w:val="1"/><w:bCs w:val="1"/><w:shd w:val="clear" w:fill="rgba(0,0,0,0)"/></w:rPr><w:t xml:space="preserve">575-0775</w:t></w:r><w:r><w:rPr><w:rFonts w:ascii="Times New Roman" w:hAnsi="Times New Roman" w:eastAsia="Times New Roman" w:cs="Times New Roman"/><w:color w:val="rgba(0,0,0,1)"/><w:sz w:val="20"/><w:szCs w:val="20"/><w:b w:val="1"/><w:bCs w:val="1"/></w:rPr><w:t xml:space="preserve"> </w:t></w:r></w:p><w:p><w:pPr><w:jc w:val="center"/><w:ind w:left="0" w:right="0" w:firstLine="0" w:hanging="0"/><w:spacing w:before="0" w:after="0" w:line="276" w:lineRule="auto"/></w:pPr><w:r><w:rPr><w:rFonts w:ascii="Times New Roman" w:hAnsi="Times New Roman" w:eastAsia="Times New Roman" w:cs="Times New Roman"/><w:color w:val="rgba(0,0,0,1)"/><w:sz w:val="16"/><w:szCs w:val="16"/><w:b w:val="1"/><w:bCs w:val="1"/><w:shd w:val="clear" w:fill="rgba(0,0,0,0)"/></w:rPr><w:t xml:space="preserve">(Registrant’s Telephone Number, Including Area Code)</w:t></w:r><w:r><w:rPr><w:rFonts w:ascii="Times New Roman" w:hAnsi="Times New Roman" w:eastAsia="Times New Roman" w:cs="Times New Roman"/><w:color w:val="rgba(0,0,0,1)"/><w:sz w:val="16"/><w:szCs w:val="16"/><w:b w:val="1"/><w:bCs w:val="1"/></w:rPr><w:t xml:space="preserve"> </w:t></w:r></w:p><w:p><w:pPr><w:jc w:val="center"/><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0" w:after="0" w:line="276" w:lineRule="auto"/></w:pPr><w:r><w:rPr><w:rFonts w:ascii="Times New Roman" w:hAnsi="Times New Roman" w:eastAsia="Times New Roman" w:cs="Times New Roman"/><w:color w:val="rgba(0,0,0,1)"/><w:sz w:val="16"/><w:szCs w:val="16"/><w:b w:val="1"/><w:bCs w:val="1"/><w:shd w:val="clear" w:fill="rgba(0,0,0,0)"/></w:rPr><w:t xml:space="preserve">Not Applicable</w:t></w:r></w:p><w:p><w:pPr><w:jc w:val="center"/><w:ind w:left="0" w:right="0" w:firstLine="0" w:hanging="0"/><w:spacing w:before="0" w:after="0" w:line="276" w:lineRule="auto"/></w:pPr><w:r><w:rPr><w:rFonts w:ascii="Times New Roman" w:hAnsi="Times New Roman" w:eastAsia="Times New Roman" w:cs="Times New Roman"/><w:color w:val="rgba(0,0,0,1)"/><w:sz w:val="16"/><w:szCs w:val="16"/><w:b w:val="1"/><w:bCs w:val="1"/><w:shd w:val="clear" w:fill="rgba(0,0,0,0)"/></w:rPr><w:t xml:space="preserve">(Former name, former address and former fiscal year, if changed since last report)</w:t></w:r></w:p><w:p><w:pPr><w:jc w:val="center"/><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40" w:after="0" w:line="276" w:lineRule="auto"/></w:pPr><w:r><w:rPr><w:rFonts w:ascii="Times New Roman" w:hAnsi="Times New Roman" w:eastAsia="Times New Roman" w:cs="Times New Roman"/><w:color w:val="rgba(0,0,0,1)"/><w:sz w:val="20"/><w:szCs w:val="20"/><w:b w:val="1"/><w:bCs w:val="1"/><w:shd w:val="clear" w:fill="rgba(0,0,0,0)"/></w:rPr><w:t xml:space="preserve">Securities registered pursuant to Section 12(b) of the Act:</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color w:val="rgba(0,0,0,1)"/><w:sz w:val="12"/><w:szCs w:val="12"/><w:b w:val="0"/><w:bCs w:val="0"/></w:rPr><w:t xml:space="preserve"> </w:t></w:r><w:r><w:rPr><w:rFonts w:ascii="Times New Roman" w:hAnsi="Times New Roman" w:eastAsia="Times New Roman" w:cs="Times New Roman"/><w:sz w:val="20"/><w:szCs w:val="20"/></w:rPr><w:t xml:space="preserve"> </w:t></w:r></w:p><w:tbl><w:tblGrid><w:gridCol w:w="750" w:type="dxa"/><w:gridCol w:w="100" w:type="dxa"/><w:gridCol w:w="44450" w:type="dxa"/><w:gridCol w:w="100" w:type="dxa"/><w:gridCol w:w="4650" w:type="dxa"/></w:tblGrid><w:tblPr><w:tblW w:w="0" w:type="pct"/><w:tblLayout w:type="autofit"/></w:tblPr><w:tr><w:trPr/><w:tc><w:tcPr><w:tcW w:w="750" w:type="pct"/><w:noWrap/></w:tcPr><w:p><w:pPr/></w:p></w:tc><w:tc><w:tcPr><w:tcW w:w="100" w:type="pct"/><w:noWrap/></w:tcPr><w:p><w:pPr/></w:p></w:tc><w:tc><w:tcPr><w:tcW w:w="44450" w:type="pct"/><w:noWrap/></w:tcPr><w:p><w:pPr/></w:p></w:tc><w:tc><w:tcPr><w:tcW w:w="100" w:type="pct"/><w:noWrap/></w:tcPr><w:p><w:pPr/></w:p></w:tc><w:tc><w:tcPr><w:tcW w:w="4650" w:type="pct"/><w:noWrap/></w:tcPr><w:p><w:pP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Title of each class</w:t></w:r></w:p></w:tc><w:tc><w:tcPr><w:tcW w:w="0" w:type="pct"/><w:vAlign w:val="top"/><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Trading Symbol(s)</w:t></w:r></w:p></w:tc><w:tc><w:tcPr><w:tcW w:w="0" w:type="pct"/><w:vAlign w:val="top"/><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Name of each exchange on which registered</w:t></w:r></w:p></w:tc></w:tr><w:tr><w:trPr><w:trHeight w:val="200" w:hRule="exact"/></w:trPr><w:tc><w:tcPr><w:tcW w:w="0" w:type="pct"/><w:vAlign w:val="top"/><w:shd w:val="clear" w:fill="rgba(0,0,0,0)"/><w:noWrap/></w:tcPr><w:p><w:pPr><w:jc w:val="center"/><w:ind w:left="0" w:right="0" w:firstLine="0" w:hanging="0"/><w:spacing w:before="0" w:after="0" w:line="252" w:lineRule="auto"/></w:pPr><w:r><w:rPr><w:rFonts w:ascii="Times New Roman" w:hAnsi="Times New Roman" w:eastAsia="Times New Roman" w:cs="Times New Roman"/><w:color w:val="rgba(0,0,0,1)"/><w:sz w:val="20"/><w:szCs w:val="20"/><w:b w:val="1"/><w:bCs w:val="1"/><w:shd w:val="clear" w:fill="rgba(0,0,0,0)"/></w:rPr><w:t xml:space="preserve">Class A Common Stock, $0.0001 par value</w:t></w:r></w:p></w:tc><w:tc><w:tcPr><w:tcW w:w="0" w:type="pct"/><w:vAlign w:val="top"/><w:shd w:val="clear" w:fill="rgba(0,0,0,0)"/><w:noWrap/></w:tcPr><w:p><w:pPr><w:jc w:val="center"/><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center"/><w:ind w:left="0" w:right="0" w:firstLine="0" w:hanging="0"/><w:spacing w:before="0" w:after="0" w:line="252" w:lineRule="auto"/></w:pPr><w:r><w:rPr><w:rFonts w:ascii="Times New Roman" w:hAnsi="Times New Roman" w:eastAsia="Times New Roman" w:cs="Times New Roman"/><w:color w:val="rgba(0,0,0,1)"/><w:sz w:val="20"/><w:szCs w:val="20"/><w:b w:val="1"/><w:bCs w:val="1"/><w:shd w:val="clear" w:fill="rgba(0,0,0,0)"/></w:rPr><w:t xml:space="preserve">ORGO</w:t></w:r></w:p></w:tc><w:tc><w:tcPr><w:tcW w:w="0" w:type="pct"/><w:vAlign w:val="top"/><w:shd w:val="clear" w:fill="rgba(0,0,0,0)"/><w:noWrap/></w:tcPr><w:p><w:pPr><w:jc w:val="center"/><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center"/><w:ind w:left="0" w:right="0" w:firstLine="0" w:hanging="0"/><w:spacing w:before="0" w:after="0" w:line="252" w:lineRule="auto"/></w:pPr><w:r><w:rPr><w:rFonts w:ascii="Times New Roman" w:hAnsi="Times New Roman" w:eastAsia="Times New Roman" w:cs="Times New Roman"/><w:color w:val="rgba(0,0,0,1)"/><w:sz w:val="20"/><w:szCs w:val="20"/><w:b w:val="1"/><w:bCs w:val="1"/><w:shd w:val="clear" w:fill="rgba(0,0,0,0)"/></w:rPr><w:t xml:space="preserve">Nasdaq</w:t></w:r><w:r><w:rPr><w:rFonts w:ascii="Times New Roman" w:hAnsi="Times New Roman" w:eastAsia="Times New Roman" w:cs="Times New Roman"/><w:color w:val="rgba(0,0,0,1)"/><w:sz w:val="20"/><w:szCs w:val="20"/><w:b w:val="1"/><w:bCs w:val="1"/><w:shd w:val="clear" w:fill="rgba(0,0,0,0)"/></w:rPr><w:t xml:space="preserve"> Capital Market</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40" w:after="0" w:line="276" w:lineRule="auto"/></w:pPr><w:r><w:rPr><w:rFonts w:ascii="Times New Roman" w:hAnsi="Times New Roman" w:eastAsia="Times New Roman" w:cs="Times New Roman"/><w:color w:val="rgba(0,0,0,1)"/><w:sz w:val="16"/><w:szCs w:val="16"/><w:b w:val="0"/><w:bCs w:val="0"/><w:shd w:val="clear" w:fill="rgba(0,0,0,0)"/></w:rPr><w:t xml:space="preserve">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  </w:t></w:r><w:r><w:rPr><w:rFonts w:ascii="Times New Roman" w:hAnsi="Times New Roman" w:eastAsia="Times New Roman" w:cs="Times New Roman"/><w:color w:val="rgba(0,0,0,1)"/><w:sz w:val="16"/><w:szCs w:val="16"/><w:b w:val="0"/><w:bCs w:val="0"/><w:shd w:val="clear" w:fill="rgba(0,0,0,0)"/></w:rPr><w:t xml:space="preserve">Yes</w:t></w:r><w:r><w:rPr><w:rFonts w:ascii="Times New Roman" w:hAnsi="Times New Roman" w:eastAsia="Times New Roman" w:cs="Times New Roman"/><w:color w:val="rgba(0,0,0,1)"/><w:sz w:val="16"/><w:szCs w:val="16"/><w:b w:val="0"/><w:bCs w:val="0"/><w:shd w:val="clear" w:fill="rgba(0,0,0,0)"/></w:rPr><w:t xml:space="preserve"> </w:t></w:r><w:r><w:rPr><w:rFonts w:ascii="Segoe UI Symbol" w:hAnsi="Segoe UI Symbol" w:eastAsia="Segoe UI Symbol" w:cs="Segoe UI Symbol"/><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  No </w:t></w:r><w:r><w:rPr><w:rFonts w:ascii="Segoe UI Symbol" w:hAnsi="Segoe UI Symbol" w:eastAsia="Segoe UI Symbol" w:cs="Segoe UI Symbol"/><w:color w:val="rgba(0,0,0,1)"/><w:sz w:val="16"/><w:szCs w:val="16"/><w:b w:val="0"/><w:bCs w:val="0"/><w:shd w:val="clear" w:fill="rgba(0,0,0,0)"/></w:rPr><w:t xml:space="preserve">☐</w:t></w:r><w:r><w:rPr><w:rFonts w:ascii="Times New Roman" w:hAnsi="Times New Roman" w:eastAsia="Times New Roman" w:cs="Times New Roman"/><w:color w:val="rgba(0,0,0,1)"/><w:sz w:val="16"/><w:szCs w:val="16"/><w:b w:val="0"/><w:bCs w:val="0"/></w:rPr><w:t xml:space="preserve"> </w:t></w:r></w:p><w:p><w:pPr><w:jc w:val="start"/><w:ind w:left="0" w:right="0" w:firstLine="0" w:hanging="0"/><w:spacing w:before="40" w:after="0" w:line="276" w:lineRule="auto"/></w:pPr><w:r><w:rPr><w:rFonts w:ascii="Times New Roman" w:hAnsi="Times New Roman" w:eastAsia="Times New Roman" w:cs="Times New Roman"/><w:color w:val="rgba(0,0,0,1)"/><w:sz w:val="16"/><w:szCs w:val="16"/><w:b w:val="0"/><w:bCs w:val="0"/><w:shd w:val="clear" w:fill="rgba(0,0,0,0)"/></w:rPr><w:t xml:space="preserve">Indicate by check mark whether the registrant has submitted electronically every Interactive Data File required to be submitted pursuant to Rule 405 of Regulation S-T (§ 232.405 of this chapter) during the preceding 12 months (or for such shorter period that the registrant was required to submit such files).  </w:t></w:r><w:r><w:rPr><w:rFonts w:ascii="Times New Roman" w:hAnsi="Times New Roman" w:eastAsia="Times New Roman" w:cs="Times New Roman"/><w:color w:val="rgba(0,0,0,1)"/><w:sz w:val="16"/><w:szCs w:val="16"/><w:b w:val="0"/><w:bCs w:val="0"/><w:shd w:val="clear" w:fill="rgba(0,0,0,0)"/></w:rPr><w:t xml:space="preserve">Yes</w:t></w:r><w:r><w:rPr><w:rFonts w:ascii="Times New Roman" w:hAnsi="Times New Roman" w:eastAsia="Times New Roman" w:cs="Times New Roman"/><w:color w:val="rgba(0,0,0,1)"/><w:sz w:val="16"/><w:szCs w:val="16"/><w:b w:val="0"/><w:bCs w:val="0"/><w:shd w:val="clear" w:fill="rgba(0,0,0,0)"/></w:rPr><w:t xml:space="preserve">  </w:t></w:r><w:r><w:rPr><w:rFonts w:ascii="Segoe UI Symbol" w:hAnsi="Segoe UI Symbol" w:eastAsia="Segoe UI Symbol" w:cs="Segoe UI Symbol"/><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  No  </w:t></w:r><w:r><w:rPr><w:rFonts w:ascii="Segoe UI Symbol" w:hAnsi="Segoe UI Symbol" w:eastAsia="Segoe UI Symbol" w:cs="Segoe UI Symbol"/><w:color w:val="rgba(0,0,0,1)"/><w:sz w:val="16"/><w:szCs w:val="16"/><w:b w:val="0"/><w:bCs w:val="0"/><w:shd w:val="clear" w:fill="rgba(0,0,0,0)"/></w:rPr><w:t xml:space="preserve">☐</w:t></w:r><w:r><w:rPr><w:rFonts w:ascii="Times New Roman" w:hAnsi="Times New Roman" w:eastAsia="Times New Roman" w:cs="Times New Roman"/><w:color w:val="rgba(0,0,0,1)"/><w:sz w:val="16"/><w:szCs w:val="16"/><w:b w:val="0"/><w:bCs w:val="0"/></w:rPr><w:t xml:space="preserve"> </w:t></w:r></w:p><w:p><w:pPr><w:jc w:val="start"/><w:ind w:left="0" w:right="0" w:firstLine="0" w:hanging="0"/><w:spacing w:before="40" w:after="0" w:line="276" w:lineRule="auto"/></w:pPr><w:r><w:rPr><w:rFonts w:ascii="Times New Roman" w:hAnsi="Times New Roman" w:eastAsia="Times New Roman" w:cs="Times New Roman"/><w:color w:val="rgba(0,0,0,1)"/><w:sz w:val="16"/><w:szCs w:val="16"/><w:b w:val="0"/><w:bCs w:val="0"/><w:shd w:val="clear" w:fill="rgba(0,0,0,0)"/></w:rPr><w:t xml:space="preserve">Indicate by check mark whether the registrant is a large accelerated filer, an accelerated filer, a non-accelerated filer, a smaller reporting company, or an emerging growth company. See the definitions of “large accelerated filer,” “accelerated filer,” “smaller reporting company,” and “emerging growth company” in Rule 12b-2 of the Exchange Act.</w:t></w:r><w:r><w:rPr><w:rFonts w:ascii="Times New Roman" w:hAnsi="Times New Roman" w:eastAsia="Times New Roman" w:cs="Times New Roman"/><w:color w:val="rgba(0,0,0,1)"/><w:sz w:val="16"/><w:szCs w:val="16"/><w:b w:val="0"/><w:bCs w:val="0"/></w:rPr><w:t xml:space="preserve"> </w:t></w:r></w:p><w:p><w:pPr><w:jc w:val="start"/><w:ind w:left="0" w:right="0" w:firstLine="0" w:hanging="0"/><w:spacing w:before="0" w:after="0" w:line="276" w:lineRule="auto"/></w:pPr><w:r><w:rPr><w:rFonts w:ascii="Times New Roman" w:hAnsi="Times New Roman" w:eastAsia="Times New Roman" w:cs="Times New Roman"/><w:color w:val="rgba(0,0,0,1)"/><w:sz w:val="12"/><w:szCs w:val="12"/><w:b w:val="0"/><w:bCs w:val="0"/></w:rPr><w:t xml:space="preserve"> </w:t></w:r><w:r><w:rPr><w:rFonts w:ascii="Times New Roman" w:hAnsi="Times New Roman" w:eastAsia="Times New Roman" w:cs="Times New Roman"/><w:sz w:val="20"/><w:szCs w:val="20"/></w:rPr><w:t xml:space="preserve"> </w:t></w:r></w:p><w:tbl><w:tblGrid><w:gridCol w:w="100" w:type="dxa"/><w:gridCol w:w="950" w:type="dxa"/><w:gridCol w:w="12150" w:type="dxa"/><w:gridCol w:w="35900" w:type="dxa"/></w:tblGrid><w:tblPr><w:tblW w:w="0" w:type="pct"/><w:tblLayout w:type="autofit"/></w:tblPr><w:tr><w:trPr/><w:tc><w:tcPr><w:tcW w:w="100" w:type="pct"/><w:noWrap/></w:tcPr><w:p><w:pPr/></w:p></w:tc><w:tc><w:tcPr><w:tcW w:w="950" w:type="pct"/><w:noWrap/></w:tcPr><w:p><w:pPr/></w:p></w:tc><w:tc><w:tcPr><w:tcW w:w="12150" w:type="pct"/><w:noWrap/></w:tcPr><w:p><w:pPr/></w:p></w:tc><w:tc><w:tcPr><w:tcW w:w="35900" w:type="pct"/><w:noWrap/></w:tcPr><w:p><w:pPr/></w:p></w:tc></w:tr><w:tr><w:trPr><w:trHeight w:val="16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Large accelerated filer</w:t></w:r></w:p></w:tc><w:tc><w:tcPr><w:tcW w:w="0" w:type="pct"/><w:vAlign w:val="bottom"/><w:shd w:val="clear" w:fill="rgba(0,0,0,0)"/><w:noWrap/></w:tcPr><w:p><w:pPr><w:jc w:val="start"/><w:ind w:left="0" w:right="0" w:firstLine="0" w:hanging="0"/><w:spacing w:before="0" w:after="0" w:line="252" w:lineRule="auto"/></w:pPr><w:r><w:rPr><w:rFonts w:ascii="Segoe UI Symbol" w:hAnsi="Segoe UI Symbol" w:eastAsia="Segoe UI Symbol" w:cs="Segoe UI Symbol"/><w:color w:val="rgba(0,0,0,1)"/><w:sz w:val="16"/><w:szCs w:val="16"/><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Accelerated filer</w:t></w:r></w:p></w:tc><w:tc><w:tcPr><w:tcW w:w="0" w:type="pct"/><w:vAlign w:val="bottom"/><w:shd w:val="clear" w:fill="rgba(0,0,0,0)"/><w:noWrap/></w:tcPr><w:p><w:pPr><w:jc w:val="start"/><w:ind w:left="0" w:right="0" w:firstLine="0" w:hanging="0"/><w:spacing w:before="0" w:after="0" w:line="252" w:lineRule="auto"/></w:pPr><w:r><w:rPr><w:rFonts w:ascii="Segoe UI Symbol" w:hAnsi="Segoe UI Symbol" w:eastAsia="Segoe UI Symbol" w:cs="Segoe UI Symbol"/><w:color w:val="rgba(0,0,0,1)"/><w:sz w:val="16"/><w:szCs w:val="16"/><w:b w:val="0"/><w:bCs w:val="0"/><w:shd w:val="clear" w:fill="rgba(0,0,0,0)"/></w:rPr><w:t xml:space="preserve">☐</w:t></w:r></w:p></w:tc></w:tr><w:tr><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8"/><w:szCs w:val="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8"/><w:szCs w:val="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8"/><w:szCs w:val="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8"/><w:szCs w:val="8"/><w:shd w:val="clear" w:fill="rgba(0,0,0,0)"/></w:rPr><w:t xml:space="preserve"> </w:t></w:r></w:p></w:tc></w:tr><w:tr><w:trPr><w:trHeight w:val="16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Non-accelerated filer</w:t></w:r></w:p></w:tc><w:tc><w:tcPr><w:tcW w:w="0" w:type="pct"/><w:vAlign w:val="bottom"/><w:shd w:val="clear" w:fill="rgba(0,0,0,0)"/><w:noWrap/></w:tcPr><w:p><w:pPr><w:jc w:val="start"/><w:ind w:left="0" w:right="0" w:firstLine="0" w:hanging="0"/><w:spacing w:before="0" w:after="0" w:line="252" w:lineRule="auto"/></w:pPr><w:r><w:rPr><w:rFonts w:ascii="Segoe UI Symbol" w:hAnsi="Segoe UI Symbol" w:eastAsia="Segoe UI Symbol" w:cs="Segoe UI Symbol"/><w:color w:val="rgba(0,0,0,1)"/><w:sz w:val="16"/><w:szCs w:val="16"/><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Smaller reporting company</w:t></w:r></w:p></w:tc><w:tc><w:tcPr><w:tcW w:w="0" w:type="pct"/><w:vAlign w:val="bottom"/><w:shd w:val="clear" w:fill="rgba(0,0,0,0)"/><w:noWrap/></w:tcPr><w:p><w:pPr><w:jc w:val="start"/><w:ind w:left="0" w:right="0" w:firstLine="0" w:hanging="0"/><w:spacing w:before="0" w:after="0" w:line="252" w:lineRule="auto"/></w:pPr><w:r><w:rPr><w:rFonts w:ascii="Segoe UI Symbol" w:hAnsi="Segoe UI Symbol" w:eastAsia="Segoe UI Symbol" w:cs="Segoe UI Symbol"/><w:color w:val="rgba(0,0,0,1)"/><w:sz w:val="16"/><w:szCs w:val="16"/><w:b w:val="0"/><w:bCs w:val="0"/><w:shd w:val="clear" w:fill="rgba(0,0,0,0)"/></w:rPr><w:t xml:space="preserve">☐</w:t></w:r></w:p></w:tc></w:tr><w:tr><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8"/><w:szCs w:val="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8"/><w:szCs w:val="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8"/><w:szCs w:val="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8"/><w:szCs w:val="8"/><w:shd w:val="clear" w:fill="rgba(0,0,0,0)"/></w:rPr><w:t xml:space="preserve"> </w:t></w:r></w:p></w:tc></w:tr><w:tr><w:trPr><w:trHeight w:val="160" w:hRule="exact"/></w:trPr><w:tc><w:tcPr><w:tcW w:w="0" w:type="pct"/><w:vAlign w:val="bottom"/><w:shd w:val="clear" w:fill="rgba(0,0,0,0)"/><w:noWrap/></w:tcPr><w:p><w:pPr><w:jc w:val="start"/><w:ind w:left="0" w:right="0" w:firstLine="0" w:hanging="0"/><w:spacing w:before="0" w:after="0" w:line="40" w:lineRule="exact"/></w:pPr><w:r><w:rPr><w:rFonts w:ascii="Times New Roman" w:hAnsi="Times New Roman" w:eastAsia="Times New Roman" w:cs="Times New Roman"/><w:color w:val="rgba(0,0,0,1)"/><w:sz w:val="16"/><w:szCs w:val="16"/><w:b w:val="0"/><w:bCs w:val="0"/><w:shd w:val="clear" w:fill="rgba(0,0,0,0)"/></w:rPr><w:t xml:space="preserve"> </w:t></w: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40" w:lineRule="exact"/></w:pPr><w:r><w:rPr><w:rFonts w:ascii="Times New Roman" w:hAnsi="Times New Roman" w:eastAsia="Times New Roman" w:cs="Times New Roman"/><w:color w:val="rgba(0,0,0,1)"/><w:sz w:val="16"/><w:szCs w:val="16"/><w:b w:val="0"/><w:bCs w:val="0"/><w:shd w:val="clear" w:fill="rgba(0,0,0,0)"/></w:rPr><w:t xml:space="preserve"> </w:t></w: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Emerging growth company</w:t></w:r></w:p></w:tc><w:tc><w:tcPr><w:tcW w:w="0" w:type="pct"/><w:vAlign w:val="bottom"/><w:shd w:val="clear" w:fill="rgba(0,0,0,0)"/><w:noWrap/></w:tcPr><w:p><w:pPr><w:jc w:val="start"/><w:ind w:left="0" w:right="0" w:firstLine="0" w:hanging="0"/><w:spacing w:before="0" w:after="0" w:line="252" w:lineRule="auto"/></w:pPr><w:r><w:rPr><w:rFonts w:ascii="Segoe UI Symbol" w:hAnsi="Segoe UI Symbol" w:eastAsia="Segoe UI Symbol" w:cs="Segoe UI Symbol"/><w:color w:val="rgba(0,0,0,1)"/><w:sz w:val="16"/><w:szCs w:val="16"/><w:b w:val="0"/><w:bCs w:val="0"/><w:shd w:val="clear" w:fill="rgba(0,0,0,0)"/></w:rPr><w:t xml:space="preserve">☐</w:t></w:r></w:p></w:tc></w:tr></w:tbl><w:p><w:pPr><w:jc w:val="start"/><w:ind w:left="0" w:right="0" w:firstLine="0" w:hanging="0"/><w:spacing w:before="40" w:after="0" w:line="276" w:lineRule="auto"/></w:pPr><w:r><w:rPr><w:rFonts w:ascii="Times New Roman" w:hAnsi="Times New Roman" w:eastAsia="Times New Roman" w:cs="Times New Roman"/><w:color w:val="rgba(0,0,0,1)"/><w:sz w:val="16"/><w:szCs w:val="16"/><w:b w:val="0"/><w:bCs w:val="0"/><w:shd w:val="clear" w:fill="rgba(0,0,0,0)"/></w:rPr><w:t xml:space="preserve">If an emerging growth company, indicate by check mark if the registrant has elected not to use the extended transition period for complying with any new or revised financial accounting standards provided pursuant to Section 13(a) of the Exchange Act </w:t></w:r><w:r><w:rPr><w:rFonts w:ascii="Segoe UI Symbol" w:hAnsi="Segoe UI Symbol" w:eastAsia="Segoe UI Symbol" w:cs="Segoe UI Symbol"/><w:color w:val="rgba(0,0,0,1)"/><w:sz w:val="16"/><w:szCs w:val="16"/><w:b w:val="0"/><w:bCs w:val="0"/><w:shd w:val="clear" w:fill="rgba(0,0,0,0)"/></w:rPr><w:t xml:space="preserve">☐</w:t></w:r><w:r><w:rPr><w:rFonts w:ascii="Times New Roman" w:hAnsi="Times New Roman" w:eastAsia="Times New Roman" w:cs="Times New Roman"/><w:color w:val="rgba(0,0,0,1)"/><w:sz w:val="16"/><w:szCs w:val="16"/><w:b w:val="0"/><w:bCs w:val="0"/></w:rPr><w:t xml:space="preserve"> </w:t></w:r></w:p><w:p><w:pPr><w:jc w:val="start"/><w:ind w:left="0" w:right="0" w:firstLine="0" w:hanging="0"/><w:spacing w:before="40" w:after="0" w:line="276" w:lineRule="auto"/></w:pPr><w:r><w:rPr><w:rFonts w:ascii="Times New Roman" w:hAnsi="Times New Roman" w:eastAsia="Times New Roman" w:cs="Times New Roman"/><w:color w:val="rgba(0,0,0,1)"/><w:sz w:val="16"/><w:szCs w:val="16"/><w:b w:val="0"/><w:bCs w:val="0"/><w:shd w:val="clear" w:fill="rgba(0,0,0,0)"/></w:rPr><w:t xml:space="preserve">Indicate by check mark whether the registrant is a shell company (as defined in Rule 12b-2 of the Exchange Act).  Yes </w:t></w:r><w:r><w:rPr><w:rFonts w:ascii="Segoe UI Symbol" w:hAnsi="Segoe UI Symbol" w:eastAsia="Segoe UI Symbol" w:cs="Segoe UI Symbol"/><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  No </w:t></w:r><w:r><w:rPr><w:rFonts w:ascii="Segoe UI Symbol" w:hAnsi="Segoe UI Symbol" w:eastAsia="Segoe UI Symbol" w:cs="Segoe UI Symbol"/><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 </w:t></w:r></w:p><w:p><w:pPr><w:jc w:val="start"/><w:ind w:left="0" w:right="0" w:firstLine="0" w:hanging="0"/><w:spacing w:before="0" w:after="0" w:line="248.39999999999998" w:lineRule="auto"/></w:pPr><w:r><w:rPr><w:rFonts w:ascii="Times New Roman" w:hAnsi="Times New Roman" w:eastAsia="Times New Roman" w:cs="Times New Roman"/><w:color w:val="rgba(0,0,0,1)"/><w:sz w:val="8"/><w:szCs w:val="8"/><w:b w:val="0"/><w:bCs w:val="0"/></w:rPr><w:t xml:space="preserve"> </w:t></w:r><w:r><w:rPr><w:rFonts w:ascii="Times New Roman" w:hAnsi="Times New Roman" w:eastAsia="Times New Roman" w:cs="Times New Roman"/><w:sz w:val="20"/><w:szCs w:val="20"/></w:rPr><w:t xml:space="preserve"> </w:t></w:r></w:p><w:p><w:pPr><w:jc w:val="start"/><w:ind w:left="0" w:right="0" w:firstLine="0" w:hanging="0"/><w:spacing w:before="40" w:after="0" w:line="276" w:lineRule="auto"/></w:pPr><w:r><w:rPr><w:rFonts w:ascii="Times New Roman" w:hAnsi="Times New Roman" w:eastAsia="Times New Roman" w:cs="Times New Roman"/><w:color w:val="rgba(0,0,0,1)"/><w:sz w:val="16"/><w:szCs w:val="16"/><w:b w:val="0"/><w:bCs w:val="0"/><w:shd w:val="clear" w:fill="rgba(0,0,0,0)"/></w:rPr><w:t xml:space="preserve">The number of shares of the registrant’s Class A common stock outstanding as of August 1, 2022 was</w:t></w:r><w:r><w:rPr><w:rFonts w:ascii="Times New Roman" w:hAnsi="Times New Roman" w:eastAsia="Times New Roman" w:cs="Times New Roman"/><w:color w:val="rgba(0,0,0,1)"/><w:sz w:val="16"/><w:szCs w:val="16"/><w:b w:val="0"/><w:bCs w:val="0"/><w:shd w:val="clear" w:fill="rgba(0,0,0,0)"/></w:rPr><w:t xml:space="preserve"> </w:t></w:r><w:r><w:rPr><w:rFonts w:ascii="Times New Roman" w:hAnsi="Times New Roman" w:eastAsia="Times New Roman" w:cs="Times New Roman"/><w:color w:val="rgba(0,0,0,1)"/><w:sz w:val="16"/><w:szCs w:val="16"/><w:b w:val="0"/><w:bCs w:val="0"/><w:shd w:val="clear" w:fill="rgba(0,0,0,0)"/></w:rPr><w:t xml:space="preserve">130,887,817</w:t></w: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0" w:after="0" w:line="276" w:lineRule="auto"/></w:pPr><w:r><w:rPr><w:rFonts w:ascii="Times New Roman" w:hAnsi="Times New Roman" w:eastAsia="Times New Roman" w:cs="Times New Roman"/><w:color w:val="rgba(0,0,0,1)"/><w:sz w:val="20"/><w:szCs w:val="20"/><w:b w:val="1"/><w:bCs w:val="1"/><w:shd w:val="clear" w:fill="rgba(0,0,0,0)"/></w:rPr><w:t xml:space="preserve">Organogenesis Holdings Inc.</w:t></w:r><w:r><w:rPr><w:rFonts w:ascii="Times New Roman" w:hAnsi="Times New Roman" w:eastAsia="Times New Roman" w:cs="Times New Roman"/><w:color w:val="rgba(0,0,0,1)"/><w:sz w:val="20"/><w:szCs w:val="20"/><w:b w:val="1"/><w:bCs w:val="1"/></w:rPr><w:t xml:space="preserve"> </w:t></w:r></w:p><w:p><w:pPr><w:jc w:val="center"/><w:ind w:left="0" w:right="0" w:firstLine="0" w:hanging="0"/><w:spacing w:before="0" w:after="0" w:line="276" w:lineRule="auto"/></w:pPr><w:r><w:rPr><w:rFonts w:ascii="Times New Roman" w:hAnsi="Times New Roman" w:eastAsia="Times New Roman" w:cs="Times New Roman"/><w:color w:val="rgba(0,0,0,1)"/><w:sz w:val="20"/><w:szCs w:val="20"/><w:b w:val="1"/><w:bCs w:val="1"/><w:shd w:val="clear" w:fill="rgba(0,0,0,0)"/></w:rPr><w:t xml:space="preserve">Quarterly Report on Form 10-Q</w:t></w:r><w:r><w:rPr><w:rFonts w:ascii="Times New Roman" w:hAnsi="Times New Roman" w:eastAsia="Times New Roman" w:cs="Times New Roman"/><w:color w:val="rgba(0,0,0,1)"/><w:sz w:val="20"/><w:szCs w:val="20"/><w:b w:val="1"/><w:bCs w:val="1"/></w:rPr><w:t xml:space="preserve"> </w:t></w:r></w:p><w:p><w:pPr><w:jc w:val="center"/><w:ind w:left="0" w:right="0" w:firstLine="0" w:hanging="0"/><w:spacing w:before="0" w:after="0" w:line="276" w:lineRule="auto"/></w:pPr><w:r><w:rPr><w:rFonts w:ascii="Times New Roman" w:hAnsi="Times New Roman" w:eastAsia="Times New Roman" w:cs="Times New Roman"/><w:color w:val="rgba(0,0,0,1)"/><w:sz w:val="20"/><w:szCs w:val="20"/><w:b w:val="1"/><w:bCs w:val="1"/><w:shd w:val="clear" w:fill="rgba(0,0,0,0)"/></w:rPr><w:t xml:space="preserve">For the Quarterly Period Ended June 30, 2022</w:t></w:r><w:r><w:rPr><w:rFonts w:ascii="Times New Roman" w:hAnsi="Times New Roman" w:eastAsia="Times New Roman" w:cs="Times New Roman"/><w:color w:val="rgba(0,0,0,1)"/><w:sz w:val="20"/><w:szCs w:val="20"/><w:b w:val="1"/><w:bCs w:val="1"/></w:rPr><w:t xml:space="preserve"> </w:t></w:r></w:p><w:p><w:pPr><w:jc w:val="center"/><w:ind w:left="0" w:right="0" w:firstLine="0" w:hanging="0"/><w:spacing w:before="240" w:after="0" w:line="276" w:lineRule="auto"/></w:pPr><w:r><w:rPr><w:rFonts w:ascii="Times New Roman" w:hAnsi="Times New Roman" w:eastAsia="Times New Roman" w:cs="Times New Roman"/><w:color w:val="rgba(0,0,0,1)"/><w:sz w:val="20"/><w:szCs w:val="20"/><w:b w:val="1"/><w:bCs w:val="1"/><w:shd w:val="clear" w:fill="rgba(0,0,0,0)"/></w:rPr><w:t xml:space="preserve">Table o</w:t></w:r><w:r><w:rPr><w:rFonts w:ascii="Times New Roman" w:hAnsi="Times New Roman" w:eastAsia="Times New Roman" w:cs="Times New Roman"/><w:color w:val="rgba(0,0,0,1)"/><w:sz w:val="20"/><w:szCs w:val="20"/><w:b w:val="1"/><w:bCs w:val="1"/><w:shd w:val="clear" w:fill="rgba(0,0,0,0)"/></w:rPr><w:t xml:space="preserve">f Contents</w:t></w:r><w:r><w:rPr><w:rFonts w:ascii="Times New Roman" w:hAnsi="Times New Roman" w:eastAsia="Times New Roman" w:cs="Times New Roman"/><w:color w:val="rgba(0,0,0,1)"/><w:sz w:val="20"/><w:szCs w:val="20"/><w:b w:val="1"/><w:bCs w:val="1"/></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200" w:type="dxa"/><w:gridCol w:w="0" w:type="dxa"/><w:gridCol w:w="49800" w:type="dxa"/></w:tblGrid><w:tblPr><w:tblW w:w="0" w:type="pct"/><w:tblLayout w:type="autofit"/></w:tblPr><w:tr><w:trPr/><w:tc><w:tcPr><w:tcW w:w="200" w:type="pct"/><w:noWrap/></w:tcPr><w:p><w:pPr/></w:p></w:tc><w:tc><w:tcPr><w:tcW w:w="0" w:type="pct"/><w:noWrap/></w:tcPr><w:p><w:pPr/></w:p></w:tc><w:tc><w:tcPr><w:tcW w:w="49800" w:type="pct"/><w:noWrap/></w:tcPr><w:p><w:pPr/></w:p></w:tc></w:tr><w:tr><w:trPr><w:trHeight w:val="160" w:hRule="exact"/></w:trPr><w:tc><w:tcPr><w:tcW w:w="0" w:type="pct"/><w:vAlign w:val="bottom"/><w:shd w:val="clear" w:fill="rgba(0,0,0,0)"/><w:gridSpan w:val="2"/><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 </w:t></w: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Page</w:t></w:r></w:p></w:tc></w:tr><w:tr><w:trPr><w:trHeight w:val="200" w:hRule="exact"/></w:trPr><w:tc><w:tcPr><w:tcW w:w="0" w:type="pct"/><w:vAlign w:val="top"/><w:shd w:val="clear" w:fill="rgba(0,0,0,0)"/><w:gridSpan w:val="2"/><w:noWrap/></w:tcPr><w:p><w:pPr><w:jc w:val="start"/><w:ind w:left="0" w:right="0" w:firstLine="0" w:hanging="0"/><w:spacing w:before="0" w:after="0" w:line="252" w:lineRule="auto"/></w:pPr><w:hyperlink w:anchor="part_ifinancial_information" w:history="1"><w:r><w:rPr/><w:t xml:space="preserve">PART I. FINANCIAL INFORMATION</w:t></w:r></w:hyperlink><w:r><w:rPr><w:rFonts w:ascii="Times New Roman" w:hAnsi="Times New Roman" w:eastAsia="Times New Roman" w:cs="Times New Roman"/><w:color w:val="rgba(0,0,0,1)"/><w:sz w:val="20"/><w:szCs w:val="20"/><w:b w:val="0"/><w:bCs w:val="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4</w:t></w:r></w:p></w:tc></w:tr><w:tr><w:trPr><w:trHeight w:val="24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Item 1.</w:t></w:r></w:p></w:tc><w:tc><w:tcPr><w:tcW w:w="0" w:type="pct"/><w:vAlign w:val="bottom"/><w:shd w:val="clear" w:fill="rgba(0,0,0,0)"/><w:noWrap/></w:tcPr><w:p><w:pPr><w:jc w:val="start"/><w:ind w:left="0" w:right="0" w:firstLine="0" w:hanging="0"/><w:spacing w:before="0" w:after="0" w:line="252" w:lineRule="auto"/></w:pPr><w:hyperlink w:anchor="item_1_unaudited_consolidated_financial_" w:history="1"><w:r><w:rPr/><w:t xml:space="preserve">Unaudited Consolidated Financial Statements</w:t></w:r></w:hyperlink></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4</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 </w:t></w: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hyperlink w:anchor="consolidated_balance_sheets" w:history="1"><w:r><w:rPr/><w:t xml:space="preserve">Consolidated Balance Sheets</w:t></w:r></w:hyperlink></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4</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 </w:t></w: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hyperlink w:anchor="consolidated_statements_operations" w:history="1"><w:r><w:rPr/><w:t xml:space="preserve">Consolidated Statements of Operations</w:t></w:r></w:hyperlink></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5</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 </w:t></w: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hyperlink w:anchor="consolidated_statements_redeemable_commo" w:history="1"><w:r><w:rPr/><w:t xml:space="preserve">Consolidated Statements of Stockholders’ Equity</w:t></w:r></w:hyperlink></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6</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 </w:t></w: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hyperlink w:anchor="consolidated_statements_cash_flows" w:history="1"><w:r><w:rPr/><w:t xml:space="preserve">Consolidated Statements of Cash Flows</w:t></w:r></w:hyperlink></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 </w:t></w: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hyperlink w:anchor="notes_to_unaudited_consolidated_financia" w:history="1"><w:r><w:rPr/><w:t xml:space="preserve">Notes to Consolidated Financial Statements</w:t></w:r></w:hyperlink></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8</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Item 2.</w:t></w:r></w:p></w:tc><w:tc><w:tcPr><w:tcW w:w="0" w:type="pct"/><w:vAlign w:val="bottom"/><w:shd w:val="clear" w:fill="rgba(0,0,0,0)"/><w:noWrap/></w:tcPr><w:p><w:pPr><w:jc w:val="start"/><w:ind w:left="0" w:right="0" w:firstLine="0" w:hanging="0"/><w:spacing w:before="0" w:after="0" w:line="252" w:lineRule="auto"/></w:pPr><w:hyperlink w:anchor="item_2_managements_discussion_analysis_f" w:history="1"><w:r><w:rPr/><w:t xml:space="preserve">Management’s Discussion and Analysis of Financial Condition and Results of Operations</w:t></w:r></w:hyperlink></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23</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Item 3.</w:t></w:r></w:p></w:tc><w:tc><w:tcPr><w:tcW w:w="0" w:type="pct"/><w:vAlign w:val="bottom"/><w:shd w:val="clear" w:fill="rgba(0,0,0,0)"/><w:noWrap/></w:tcPr><w:p><w:pPr><w:jc w:val="start"/><w:ind w:left="0" w:right="0" w:firstLine="0" w:hanging="0"/><w:spacing w:before="0" w:after="0" w:line="252" w:lineRule="auto"/></w:pPr><w:hyperlink w:anchor="item_3_quantitative_qualitative_disclosu" w:history="1"><w:r><w:rPr/><w:t xml:space="preserve">Quantitative and Qualitative Disclosures About Market Risk</w:t></w:r></w:hyperlink></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32</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Item 4.</w:t></w:r></w:p></w:tc><w:tc><w:tcPr><w:tcW w:w="0" w:type="pct"/><w:vAlign w:val="bottom"/><w:shd w:val="clear" w:fill="rgba(0,0,0,0)"/><w:noWrap/></w:tcPr><w:p><w:pPr><w:jc w:val="start"/><w:ind w:left="0" w:right="0" w:firstLine="0" w:hanging="0"/><w:spacing w:before="0" w:after="0" w:line="252" w:lineRule="auto"/></w:pPr><w:hyperlink w:anchor="item_4_controls_procedures" w:history="1"><w:r><w:rPr/><w:t xml:space="preserve">Controls and Procedures</w:t></w:r></w:hyperlink></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33</w:t></w:r></w:p></w:tc></w:tr><w:tr><w:trPr/><w:tc><w:tcPr><w:tcW w:w="0" w:type="pct"/><w:vAlign w:val="top"/><w:shd w:val="clear" w:fill="rgba(0,0,0,0)"/><w:gridSpan w:val="2"/><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sz w:val="12"/><w:szCs w:val="12"/><w:shd w:val="clear" w:fill="rgba(0,0,0,0)"/></w:rPr><w:t xml:space="preserve"> </w:t></w:r></w:p></w:tc></w:tr><w:tr><w:trPr><w:trHeight w:val="200" w:hRule="exact"/></w:trPr><w:tc><w:tcPr><w:tcW w:w="0" w:type="pct"/><w:vAlign w:val="top"/><w:shd w:val="clear" w:fill="rgba(0,0,0,0)"/><w:gridSpan w:val="2"/><w:noWrap/></w:tcPr><w:p><w:pPr><w:jc w:val="start"/><w:ind w:left="0" w:right="0" w:firstLine="0" w:hanging="0"/><w:spacing w:before="0" w:after="0" w:line="252" w:lineRule="auto"/></w:pPr><w:hyperlink w:anchor="part_ii_or_information" w:history="1"><w:r><w:rPr/><w:t xml:space="preserve">PART II. OTHER INFORMATION</w:t></w:r></w:hyperlink><w:r><w:rPr><w:rFonts w:ascii="Times New Roman" w:hAnsi="Times New Roman" w:eastAsia="Times New Roman" w:cs="Times New Roman"/><w:color w:val="rgba(0,0,0,1)"/><w:sz w:val="20"/><w:szCs w:val="20"/><w:b w:val="0"/><w:bCs w:val="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34</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Item 1.</w:t></w:r></w:p></w:tc><w:tc><w:tcPr><w:tcW w:w="0" w:type="pct"/><w:vAlign w:val="bottom"/><w:shd w:val="clear" w:fill="rgba(0,0,0,0)"/><w:noWrap/></w:tcPr><w:p><w:pPr><w:jc w:val="start"/><w:ind w:left="0" w:right="0" w:firstLine="0" w:hanging="0"/><w:spacing w:before="0" w:after="0" w:line="252" w:lineRule="auto"/></w:pPr><w:hyperlink w:anchor="item_1_legal_proceedings" w:history="1"><w:r><w:rPr/><w:t xml:space="preserve">Legal Proceedings</w:t></w:r></w:hyperlink></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34</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Item 1A</w:t></w:r></w:p></w:tc><w:tc><w:tcPr><w:tcW w:w="0" w:type="pct"/><w:vAlign w:val="bottom"/><w:shd w:val="clear" w:fill="rgba(0,0,0,0)"/><w:noWrap/></w:tcPr><w:p><w:pPr><w:jc w:val="start"/><w:ind w:left="0" w:right="0" w:firstLine="0" w:hanging="0"/><w:spacing w:before="0" w:after="0" w:line="252" w:lineRule="auto"/></w:pPr><w:hyperlink w:anchor="item_1a_risk_factors" w:history="1"><w:r><w:rPr/><w:t xml:space="preserve">Risk Factors</w:t></w:r></w:hyperlink></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34</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Item 2.</w:t></w:r></w:p></w:tc><w:tc><w:tcPr><w:tcW w:w="0" w:type="pct"/><w:vAlign w:val="bottom"/><w:shd w:val="clear" w:fill="rgba(0,0,0,0)"/><w:noWrap/></w:tcPr><w:p><w:pPr><w:jc w:val="start"/><w:ind w:left="0" w:right="0" w:firstLine="0" w:hanging="0"/><w:spacing w:before="0" w:after="0" w:line="252" w:lineRule="auto"/></w:pPr><w:hyperlink w:anchor="item_2_unregistered_sales_equity_securit" w:history="1"><w:r><w:rPr/><w:t xml:space="preserve">Unregistered Sales of Equity Securities and Use of Proceeds</w:t></w:r></w:hyperlink></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34</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Item 3.</w:t></w:r></w:p></w:tc><w:tc><w:tcPr><w:tcW w:w="0" w:type="pct"/><w:vAlign w:val="bottom"/><w:shd w:val="clear" w:fill="rgba(0,0,0,0)"/><w:noWrap/></w:tcPr><w:p><w:pPr><w:jc w:val="start"/><w:ind w:left="0" w:right="0" w:firstLine="0" w:hanging="0"/><w:spacing w:before="0" w:after="0" w:line="252" w:lineRule="auto"/></w:pPr><w:hyperlink w:anchor="item_3_defaults_upon_senior_securities" w:history="1"><w:r><w:rPr/><w:t xml:space="preserve">Defaults Upon Senior Securities</w:t></w:r></w:hyperlink></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34</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Item 4.</w:t></w:r></w:p></w:tc><w:tc><w:tcPr><w:tcW w:w="0" w:type="pct"/><w:vAlign w:val="bottom"/><w:shd w:val="clear" w:fill="rgba(0,0,0,0)"/><w:noWrap/></w:tcPr><w:p><w:pPr><w:jc w:val="start"/><w:ind w:left="0" w:right="0" w:firstLine="0" w:hanging="0"/><w:spacing w:before="0" w:after="0" w:line="252" w:lineRule="auto"/></w:pPr><w:hyperlink w:anchor="item_4_mine_safety_disclosures" w:history="1"><w:r><w:rPr/><w:t xml:space="preserve">Mine Safety Disclosures</w:t></w:r></w:hyperlink></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34</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Item 5.</w:t></w:r></w:p></w:tc><w:tc><w:tcPr><w:tcW w:w="0" w:type="pct"/><w:vAlign w:val="bottom"/><w:shd w:val="clear" w:fill="rgba(0,0,0,0)"/><w:noWrap/></w:tcPr><w:p><w:pPr><w:jc w:val="start"/><w:ind w:left="0" w:right="0" w:firstLine="0" w:hanging="0"/><w:spacing w:before="0" w:after="0" w:line="252" w:lineRule="auto"/></w:pPr><w:hyperlink w:anchor="item_5_or_information" w:history="1"><w:r><w:rPr/><w:t xml:space="preserve">Other Information</w:t></w:r></w:hyperlink></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34</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Item 6.</w:t></w:r></w:p></w:tc><w:tc><w:tcPr><w:tcW w:w="0" w:type="pct"/><w:vAlign w:val="bottom"/><w:shd w:val="clear" w:fill="rgba(0,0,0,0)"/><w:noWrap/></w:tcPr><w:p><w:pPr><w:jc w:val="start"/><w:ind w:left="0" w:right="0" w:firstLine="0" w:hanging="0"/><w:spacing w:before="0" w:after="0" w:line="252" w:lineRule="auto"/></w:pPr><w:hyperlink w:anchor="item_6_exhibits" w:history="1"><w:r><w:rPr/><w:t xml:space="preserve">Exhibits</w:t></w:r></w:hyperlink></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35</w:t></w:r></w:p></w:tc></w:tr><w:tr><w:trPr/><w:tc><w:tcPr><w:tcW w:w="0" w:type="pct"/><w:vAlign w:val="top"/><w:shd w:val="clear" w:fill="rgba(0,0,0,0)"/><w:gridSpan w:val="2"/><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sz w:val="12"/><w:szCs w:val="12"/><w:shd w:val="clear" w:fill="rgba(0,0,0,0)"/></w:rPr><w:t xml:space="preserve"> </w:t></w:r></w:p></w:tc></w:tr><w:tr><w:trPr><w:trHeight w:val="200" w:hRule="exact"/></w:trPr><w:tc><w:tcPr><w:tcW w:w="0" w:type="pct"/><w:vAlign w:val="top"/><w:shd w:val="clear" w:fill="rgba(0,0,0,0)"/><w:gridSpan w:val="2"/><w:noWrap/></w:tcPr><w:p><w:pPr><w:jc w:val="start"/><w:ind w:left="0" w:right="0" w:firstLine="0" w:hanging="0"/><w:spacing w:before="0" w:after="0" w:line="252" w:lineRule="auto"/></w:pPr><w:hyperlink w:anchor="signatures" w:history="1"><w:r><w:rPr/><w:t xml:space="preserve">SIGNATURES</w:t></w:r></w:hyperlink><w:r><w:rPr><w:rFonts w:ascii="Times New Roman" w:hAnsi="Times New Roman" w:eastAsia="Times New Roman" w:cs="Times New Roman"/><w:color w:val="rgba(0,0,0,1)"/><w:sz w:val="20"/><w:szCs w:val="20"/><w:b w:val="0"/><w:bCs w:val="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36</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2</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0" w:after="0" w:line="276" w:lineRule="auto"/></w:pPr><w:r><w:rPr><w:rFonts w:ascii="Times New Roman" w:hAnsi="Times New Roman" w:eastAsia="Times New Roman" w:cs="Times New Roman"/><w:color w:val="rgba(0,0,0,1)"/><w:sz w:val="20"/><w:szCs w:val="20"/><w:b w:val="1"/><w:bCs w:val="1"/><w:shd w:val="clear" w:fill="rgba(0,0,0,0)"/></w:rPr><w:t xml:space="preserve">CAUTIONARY NOTE REGARDING FORWARD-LOOKING STATEMENTS</w:t></w:r><w:r><w:rPr><w:rFonts w:ascii="Times New Roman" w:hAnsi="Times New Roman" w:eastAsia="Times New Roman" w:cs="Times New Roman"/><w:color w:val="rgba(0,0,0,1)"/><w:sz w:val="20"/><w:szCs w:val="20"/><w:b w:val="1"/><w:bCs w:val="1"/></w:rPr><w:t xml:space="preserve"> </w:t></w:r></w:p><w:p><w:pPr><w:jc w:val="start"/><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This Quarterly Report on Form 10-Q (this “Form 10-Q”) contains forward-looking statements. These statements may relate to, but are not limited to, expectations of our future results of operations, business strategies and operations, financing plans, potential growth opportunities, potential market opportunities and the effects of competition, as well as assumptions relating to the foregoing. Forward-looking statements are inherently subject to risks and uncertainties, some of which cannot be predicted or quantified. These risks and other factors include, but are not limited to, those listed under “Risk Factors.” In some cases, you can identify forward-looking statements by terminology such as “may,” “will,” “should,” “could,” “expect,” “plan,” “anticipate,” “believe,” “estimate,” “predict,” “intend,” “potential,” “might,” “would,” “continue” or the negative of these terms or other comparable terminology. These forward-looking statements are based on our management’s current expectations, estimates, forecasts and projections about our business and the industry in which we operate and our management’s beliefs and assumptions. These forward-looking statements are not guarantees of future performance or development and involve known and unknown risks, uncertainties and other factors that are in some cases beyond our control. As a result, any or all of our forward-looking statements in this Form 10-Q may turn out to be inaccurate. Factors that may cause actual results to differ materially from current expectations include, among other things, those listed under “Risk Factors” and discussed elsewhere in this Form 10-Q and in “Part I, Item 1A—Risk Factors” in our Annual Report on Form 10-K for the year ended December 31, 2021. These forward-looking statements speak only as of the date of this Form 10-Q. Except as required by law, we assume no obligation to update or revise these forward-looking statements for any reason, even if new information becomes available in the future. You should, however, review the factors and risks we describe in the reports we will file from time to time with the U.S. Securities and Exchange Commission (the “SEC”) after the date of this Form 10-Q.</w:t></w:r><w:r><w:rPr><w:rFonts w:ascii="Times New Roman" w:hAnsi="Times New Roman" w:eastAsia="Times New Roman" w:cs="Times New Roman"/><w:color w:val="rgba(0,0,0,1)"/><w:sz w:val="20"/><w:szCs w:val="20"/><w:b w:val="0"/><w:bCs w:val="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As used herein, except as otherwise indicated by context, references to “we,” “us,” “our,” “the Company,” “Organogenesis” and “ORGO” will refer to Organogenesis Holdings Inc. and its subsidiaries.</w:t></w:r><w:r><w:rPr><w:rFonts w:ascii="Times New Roman" w:hAnsi="Times New Roman" w:eastAsia="Times New Roman" w:cs="Times New Roman"/><w:color w:val="rgba(0,0,0,1)"/><w:sz w:val="20"/><w:szCs w:val="20"/><w:b w:val="0"/><w:bCs w:val="0"/></w:rPr><w:t xml:space="preserve"> </w:t></w:r></w:p><w:p><w:pPr><w:jc w:val="center"/><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3</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color w:val="rgba(0,0,0,1)"/><w:sz w:val="2"/><w:szCs w:val="2"/><w:b w:val="0"/><w:bCs w:val="0"/><w:shd w:val="clear" w:fill="rgba(0,0,0,0)"/></w:rPr><w:t xml:space="preserve"> </w:t></w:r><w:r><w:rPr><w:rFonts w:ascii="Times New Roman" w:hAnsi="Times New Roman" w:eastAsia="Times New Roman" w:cs="Times New Roman"/><w:color w:val="rgba(0,0,0,1)"/><w:sz w:val="20"/><w:szCs w:val="20"/><w:b w:val="1"/><w:bCs w:val="1"/><w:shd w:val="clear" w:fill="rgba(0,0,0,0)"/></w:rPr><w:t xml:space="preserve">PART I—FINANCI</w:t></w:r><w:r><w:rPr><w:rFonts w:ascii="Times New Roman" w:hAnsi="Times New Roman" w:eastAsia="Times New Roman" w:cs="Times New Roman"/><w:color w:val="rgba(0,0,0,1)"/><w:sz w:val="20"/><w:szCs w:val="20"/><w:b w:val="1"/><w:bCs w:val="1"/><w:shd w:val="clear" w:fill="rgba(0,0,0,0)"/></w:rPr><w:t xml:space="preserve">AL INFORMATION</w:t></w:r><w:r><w:rPr><w:rFonts w:ascii="Times New Roman" w:hAnsi="Times New Roman" w:eastAsia="Times New Roman" w:cs="Times New Roman"/><w:color w:val="rgba(0,0,0,1)"/><w:sz w:val="20"/><w:szCs w:val="20"/><w:b w:val="1"/><w:bCs w:val="1"/></w:rPr><w:t xml:space="preserve"> </w:t></w:r></w:p><w:p><w:pPr><w:jc w:val="start"/><w:ind w:left="0" w:right="0" w:firstLine="0" w:hanging="0"/><w:spacing w:before="0" w:after="0" w:line="276" w:lineRule="auto"/></w:pPr><w:r><w:rPr><w:rFonts w:ascii="Times New Roman" w:hAnsi="Times New Roman" w:eastAsia="Times New Roman" w:cs="Times New Roman"/><w:color w:val="rgba(0,0,0,1)"/><w:sz w:val="20"/><w:szCs w:val="20"/><w:b w:val="1"/><w:bCs w:val="1"/><w:shd w:val="clear" w:fill="rgba(0,0,0,0)"/></w:rPr><w:t xml:space="preserve">Item 1. Unaudited Consolida</w:t></w:r><w:r><w:rPr><w:rFonts w:ascii="Times New Roman" w:hAnsi="Times New Roman" w:eastAsia="Times New Roman" w:cs="Times New Roman"/><w:color w:val="rgba(0,0,0,1)"/><w:sz w:val="20"/><w:szCs w:val="20"/><w:b w:val="1"/><w:bCs w:val="1"/><w:shd w:val="clear" w:fill="rgba(0,0,0,0)"/></w:rPr><w:t xml:space="preserve">ted Financial Statements.</w:t></w:r><w:r><w:rPr><w:rFonts w:ascii="Times New Roman" w:hAnsi="Times New Roman" w:eastAsia="Times New Roman" w:cs="Times New Roman"/><w:color w:val="rgba(0,0,0,1)"/><w:sz w:val="20"/><w:szCs w:val="20"/><w:b w:val="1"/><w:bCs w:val="1"/></w:rPr><w:t xml:space="preserve"> </w:t></w:r></w:p><w:p><w:pPr><w:jc w:val="center"/><w:ind w:left="0" w:right="0" w:firstLine="0" w:hanging="0"/><w:spacing w:before="240" w:after="0" w:line="276" w:lineRule="auto"/></w:pPr><w:r><w:rPr><w:rFonts w:ascii="Times New Roman" w:hAnsi="Times New Roman" w:eastAsia="Times New Roman" w:cs="Times New Roman"/><w:color w:val="rgba(0,0,0,1)"/><w:sz w:val="20"/><w:szCs w:val="20"/><w:b w:val="1"/><w:bCs w:val="1"/><w:shd w:val="clear" w:fill="rgba(0,0,0,0)"/></w:rPr><w:t xml:space="preserve">ORGANOGENESIS HOLDINGS INC.</w:t></w:r><w:r><w:rPr><w:rFonts w:ascii="Times New Roman" w:hAnsi="Times New Roman" w:eastAsia="Times New Roman" w:cs="Times New Roman"/><w:color w:val="rgba(0,0,0,1)"/><w:sz w:val="20"/><w:szCs w:val="20"/><w:b w:val="1"/><w:bCs w:val="1"/></w:rPr><w:t xml:space="preserve"> </w:t></w:r></w:p><w:p><w:pPr><w:jc w:val="center"/><w:ind w:left="0" w:right="0" w:firstLine="0" w:hanging="0"/><w:spacing w:before="0" w:after="0" w:line="276" w:lineRule="auto"/></w:pPr><w:r><w:rPr><w:rFonts w:ascii="Times New Roman" w:hAnsi="Times New Roman" w:eastAsia="Times New Roman" w:cs="Times New Roman"/><w:color w:val="rgba(0,0,0,1)"/><w:sz w:val="20"/><w:szCs w:val="20"/><w:b w:val="1"/><w:bCs w:val="1"/><w:shd w:val="clear" w:fill="rgba(0,0,0,0)"/></w:rPr><w:t xml:space="preserve">CONSOLIDATED BA</w:t></w:r><w:r><w:rPr><w:rFonts w:ascii="Times New Roman" w:hAnsi="Times New Roman" w:eastAsia="Times New Roman" w:cs="Times New Roman"/><w:color w:val="rgba(0,0,0,1)"/><w:sz w:val="20"/><w:szCs w:val="20"/><w:b w:val="1"/><w:bCs w:val="1"/><w:shd w:val="clear" w:fill="rgba(0,0,0,0)"/></w:rPr><w:t xml:space="preserve">LANCE SHEETS</w:t></w:r><w:r><w:rPr><w:rFonts w:ascii="Times New Roman" w:hAnsi="Times New Roman" w:eastAsia="Times New Roman" w:cs="Times New Roman"/><w:color w:val="rgba(0,0,0,1)"/><w:sz w:val="20"/><w:szCs w:val="20"/><w:b w:val="1"/><w:bCs w:val="1"/></w:rPr><w:t xml:space="preserve"> </w:t></w:r></w:p><w:p><w:pPr><w:jc w:val="center"/><w:ind w:left="0" w:right="0" w:firstLine="0" w:hanging="0"/><w:spacing w:before="0" w:after="0" w:line="276" w:lineRule="auto"/></w:pPr><w:r><w:rPr><w:rFonts w:ascii="Times New Roman" w:hAnsi="Times New Roman" w:eastAsia="Times New Roman" w:cs="Times New Roman"/><w:color w:val="rgba(0,0,0,1)"/><w:sz w:val="20"/><w:szCs w:val="20"/><w:b w:val="1"/><w:bCs w:val="1"/><w:shd w:val="clear" w:fill="rgba(0,0,0,0)"/></w:rPr><w:t xml:space="preserve">(unaudited)</w:t></w:r><w:r><w:rPr><w:rFonts w:ascii="Times New Roman" w:hAnsi="Times New Roman" w:eastAsia="Times New Roman" w:cs="Times New Roman"/><w:color w:val="rgba(0,0,0,1)"/><w:sz w:val="20"/><w:szCs w:val="20"/><w:b w:val="1"/><w:bCs w:val="1"/></w:rPr><w:t xml:space="preserve"> </w:t></w:r></w:p><w:p><w:pPr><w:jc w:val="center"/><w:ind w:left="0" w:right="0" w:firstLine="0" w:hanging="0"/><w:spacing w:before="0" w:after="0" w:line="276" w:lineRule="auto"/></w:pPr><w:r><w:rPr><w:rFonts w:ascii="Times New Roman" w:hAnsi="Times New Roman" w:eastAsia="Times New Roman" w:cs="Times New Roman"/><w:color w:val="rgba(0,0,0,1)"/><w:sz w:val="20"/><w:szCs w:val="20"/><w:b w:val="1"/><w:bCs w:val="1"/><w:shd w:val="clear" w:fill="rgba(0,0,0,0)"/></w:rPr><w:t xml:space="preserve">(amounts in thousands, except share and per share data)</w:t></w:r><w:r><w:rPr><w:rFonts w:ascii="Times New Roman" w:hAnsi="Times New Roman" w:eastAsia="Times New Roman" w:cs="Times New Roman"/><w:color w:val="rgba(0,0,0,1)"/><w:sz w:val="20"/><w:szCs w:val="20"/><w:b w:val="1"/><w:bCs w:val="1"/></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22200" w:type="dxa"/><w:gridCol w:w="29800" w:type="dxa"/><w:gridCol w:w="0" w:type="dxa"/><w:gridCol w:w="3800" w:type="dxa"/><w:gridCol w:w="0" w:type="dxa"/><w:gridCol w:w="29800" w:type="dxa"/><w:gridCol w:w="0" w:type="dxa"/><w:gridCol w:w="14450" w:type="dxa"/><w:gridCol w:w="0" w:type="dxa"/></w:tblGrid><w:tblPr><w:tblW w:w="0" w:type="pct"/><w:tblLayout w:type="autofit"/></w:tblPr><w:tr><w:trPr/><w:tc><w:tcPr><w:tcW w:w="22200" w:type="pct"/><w:noWrap/></w:tcPr><w:p><w:pPr/></w:p></w:tc><w:tc><w:tcPr><w:tcW w:w="29800" w:type="pct"/><w:noWrap/></w:tcPr><w:p><w:pPr/></w:p></w:tc><w:tc><w:tcPr><w:tcW w:w="0" w:type="pct"/><w:noWrap/></w:tcPr><w:p><w:pPr/></w:p></w:tc><w:tc><w:tcPr><w:tcW w:w="3800" w:type="pct"/><w:noWrap/></w:tcPr><w:p><w:pPr/></w:p></w:tc><w:tc><w:tcPr><w:tcW w:w="0" w:type="pct"/><w:noWrap/></w:tcPr><w:p><w:pPr/></w:p></w:tc><w:tc><w:tcPr><w:tcW w:w="29800" w:type="pct"/><w:noWrap/></w:tcPr><w:p><w:pPr/></w:p></w:tc><w:tc><w:tcPr><w:tcW w:w="0" w:type="pct"/><w:noWrap/></w:tcPr><w:p><w:pPr/></w:p></w:tc><w:tc><w:tcPr><w:tcW w:w="14450" w:type="pct"/><w:noWrap/></w:tcPr><w:p><w:pPr/></w:p></w:tc><w:tc><w:tcPr><w:tcW w:w="0" w:type="pct"/><w:noWrap/></w:tcPr><w:p><w:pPr/></w:p></w:tc></w:tr><w:tr><w:trPr><w:trHeight w:val="14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5"/><w:szCs w:val="15"/><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5"/><w:szCs w:val="15"/><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5"/><w:szCs w:val="15"/><w:b w:val="1"/><w:bCs w:val="1"/><w:shd w:val="clear" w:fill="rgba(0,0,0,0)"/></w:rPr><w:t xml:space="preserve">June 30,</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5"/><w:szCs w:val="15"/><w:shd w:val="clear" w:fill="rgba(0,0,0,0)"/></w:rPr><w:t xml:space="preserve"> </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5"/><w:szCs w:val="15"/><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5"/><w:szCs w:val="15"/><w:b w:val="1"/><w:bCs w:val="1"/><w:shd w:val="clear" w:fill="rgba(0,0,0,0)"/></w:rPr><w:t xml:space="preserve">December 31,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5"/><w:szCs w:val="15"/><w:shd w:val="clear" w:fill="rgba(0,0,0,0)"/></w:rPr><w:t xml:space="preserve"> </w:t></w:r></w:p></w:tc></w:tr><w:tr><w:trPr><w:trHeight w:val="14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5"/><w:szCs w:val="15"/><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5"/><w:szCs w:val="15"/><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5"/><w:szCs w:val="15"/><w:b w:val="1"/><w:bCs w:val="1"/><w:shd w:val="clear" w:fill="rgba(0,0,0,0)"/></w:rPr><w:t xml:space="preserve">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5"/><w:szCs w:val="15"/><w:shd w:val="clear" w:fill="rgba(0,0,0,0)"/></w:rPr><w:t xml:space="preserve"> </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5"/><w:szCs w:val="15"/><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5"/><w:szCs w:val="15"/><w:b w:val="1"/><w:bCs w:val="1"/><w:shd w:val="clear" w:fill="rgba(0,0,0,0)"/></w:rPr><w:t xml:space="preserve">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5"/><w:szCs w:val="15"/><w:shd w:val="clear" w:fill="rgba(0,0,0,0)"/></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1"/><w:bCs w:val="1"/><w:shd w:val="clear" w:fill="rgba(0,0,0,0)"/></w:rPr><w:t xml:space="preserve">Assets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Current assets:</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gridSpan w:val="2"/><w:noWrap/></w:tcPr><w:p><w:pPr><w:jc w:val="end"/><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gridSpan w:val="2"/><w:noWrap/></w:tcPr><w:p><w:pPr><w:jc w:val="end"/><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sz w:val="18"/><w:szCs w:val="18"/><w:shd w:val="clear" w:fill="rgba(0,0,0,0)"/></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Cash and cash equivalents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112,279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113,929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Restricted cash</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665</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599</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Accounts receivable, net</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88,824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82,460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Inventory, net</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23,235</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25,022</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Prepaid expenses and other current assets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6,540</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4,969</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Total current assets</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231,543</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226,979</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Property and equipment, net</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93,292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79,160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Intangible assets, net</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23,231</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25,673</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Goodwill</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28,772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28,772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Operating lease right-of-use assets, net</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45,860</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49,144</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Deferred tax asset, net</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31,994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31,994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Other assets</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1,665</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1,537</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Total assets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456,357</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center"/><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443,259</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1"/><w:bCs w:val="1"/><w:shd w:val="clear" w:fill="rgba(0,0,0,0)"/></w:rPr><w:t xml:space="preserve">Liabilities and Stockholders’ Equity</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gridSpan w:val="2"/><w:noWrap/></w:tcPr><w:p><w:pPr><w:jc w:val="end"/><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gridSpan w:val="2"/><w:noWrap/></w:tcPr><w:p><w:pPr><w:jc w:val="end"/><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sz w:val="18"/><w:szCs w:val="18"/><w:shd w:val="clear" w:fill="rgba(0,0,0,0)"/></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Current liabilities: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Deferred acquisition consideration</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1,436</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Current portion of term loan</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3,596</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2,656</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Finance lease obligations</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200</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Current portion of operating lease obligations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11,871</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11,785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Accounts payable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36,373</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29,339</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Accrued expenses and other current liabilities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36,390</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37,289</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Total current liabilities</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88,230</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82,705</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Term loan, net of current portion</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68,969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70,769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Operating lease obligations, net of current portion</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43,700</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46,893</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Other liabilities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1,073</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1,557</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Total liabilities</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201,972</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201,924</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Commitments and contingencies (Note 18)</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Stockholders’ equity:</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gridSpan w:val="2"/><w:noWrap/></w:tcPr><w:p><w:pPr><w:jc w:val="end"/><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gridSpan w:val="2"/><w:noWrap/></w:tcPr><w:p><w:pPr><w:jc w:val="end"/><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sz w:val="18"/><w:szCs w:val="18"/><w:shd w:val="clear" w:fill="rgba(0,0,0,0)"/></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Preferred stock, $</w:t></w:r><w:r><w:rPr><w:rFonts w:ascii="Times New Roman" w:hAnsi="Times New Roman" w:eastAsia="Times New Roman" w:cs="Times New Roman"/><w:color w:val="rgba(0,0,0,1)"/><w:sz w:val="18"/><w:szCs w:val="18"/><w:b w:val="0"/><w:bCs w:val="0"/><w:shd w:val="clear" w:fill="rgba(0,0,0,0)"/></w:rPr><w:t xml:space="preserve">0.0001</w:t></w:r><w:r><w:rPr><w:rFonts w:ascii="Times New Roman" w:hAnsi="Times New Roman" w:eastAsia="Times New Roman" w:cs="Times New Roman"/><w:color w:val="rgba(0,0,0,1)"/><w:sz w:val="18"/><w:szCs w:val="18"/><w:b w:val="0"/><w:bCs w:val="0"/><w:shd w:val="clear" w:fill="rgba(0,0,0,0)"/></w:rPr><w:t xml:space="preserve"> par value; </w:t></w:r><w:r><w:rPr><w:rFonts w:ascii="Times New Roman" w:hAnsi="Times New Roman" w:eastAsia="Times New Roman" w:cs="Times New Roman"/><w:color w:val="rgba(0,0,0,1)"/><w:sz w:val="18"/><w:szCs w:val="18"/><w:b w:val="0"/><w:bCs w:val="0"/><w:shd w:val="clear" w:fill="rgba(0,0,0,0)"/></w:rPr><w:t xml:space="preserve">1,000,000</w:t></w:r><w:r><w:rPr><w:rFonts w:ascii="Times New Roman" w:hAnsi="Times New Roman" w:eastAsia="Times New Roman" w:cs="Times New Roman"/><w:color w:val="rgba(0,0,0,1)"/><w:sz w:val="18"/><w:szCs w:val="18"/><w:b w:val="0"/><w:bCs w:val="0"/><w:shd w:val="clear" w:fill="rgba(0,0,0,0)"/></w:rPr><w:t xml:space="preserve"> shares authorized; </w:t></w:r><w:r><w:rPr><w:rFonts w:ascii="Times New Roman" w:hAnsi="Times New Roman" w:eastAsia="Times New Roman" w:cs="Times New Roman"/><w:color w:val="rgba(0,0,0,1)"/><w:sz w:val="18"/><w:szCs w:val="18"/><w:b w:val="0"/><w:bCs w:val="0"/><w:shd w:val="clear" w:fill="rgba(0,0,0,0)"/></w:rPr><w:t xml:space="preserve">none</w:t></w:r><w:r><w:rPr><w:rFonts w:ascii="Times New Roman" w:hAnsi="Times New Roman" w:eastAsia="Times New Roman" w:cs="Times New Roman"/><w:color w:val="rgba(0,0,0,1)"/><w:sz w:val="18"/><w:szCs w:val="18"/><w:b w:val="0"/><w:bCs w:val="0"/><w:shd w:val="clear" w:fill="rgba(0,0,0,0)"/></w:rPr><w:t xml:space="preserve"> issued</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Common stock, $</w:t></w:r><w:r><w:rPr><w:rFonts w:ascii="Times New Roman" w:hAnsi="Times New Roman" w:eastAsia="Times New Roman" w:cs="Times New Roman"/><w:color w:val="rgba(0,0,0,1)"/><w:sz w:val="18"/><w:szCs w:val="18"/><w:b w:val="0"/><w:bCs w:val="0"/><w:shd w:val="clear" w:fill="rgba(0,0,0,0)"/></w:rPr><w:t xml:space="preserve">0.0001</w:t></w:r><w:r><w:rPr><w:rFonts w:ascii="Times New Roman" w:hAnsi="Times New Roman" w:eastAsia="Times New Roman" w:cs="Times New Roman"/><w:color w:val="rgba(0,0,0,1)"/><w:sz w:val="18"/><w:szCs w:val="18"/><w:b w:val="0"/><w:bCs w:val="0"/><w:shd w:val="clear" w:fill="rgba(0,0,0,0)"/></w:rPr><w:t xml:space="preserve"> par value; </w:t></w:r><w:r><w:rPr><w:rFonts w:ascii="Times New Roman" w:hAnsi="Times New Roman" w:eastAsia="Times New Roman" w:cs="Times New Roman"/><w:color w:val="rgba(0,0,0,1)"/><w:sz w:val="18"/><w:szCs w:val="18"/><w:b w:val="0"/><w:bCs w:val="0"/><w:shd w:val="clear" w:fill="rgba(0,0,0,0)"/></w:rPr><w:t xml:space="preserve">400,000,000</w:t></w:r><w:r><w:rPr><w:rFonts w:ascii="Times New Roman" w:hAnsi="Times New Roman" w:eastAsia="Times New Roman" w:cs="Times New Roman"/><w:color w:val="rgba(0,0,0,1)"/><w:sz w:val="18"/><w:szCs w:val="18"/><w:b w:val="0"/><w:bCs w:val="0"/><w:shd w:val="clear" w:fill="rgba(0,0,0,0)"/></w:rPr><w:t xml:space="preserve"> shares authorized; </w:t></w:r><w:r><w:rPr><w:rFonts w:ascii="Times New Roman" w:hAnsi="Times New Roman" w:eastAsia="Times New Roman" w:cs="Times New Roman"/><w:color w:val="rgba(0,0,0,1)"/><w:sz w:val="18"/><w:szCs w:val="18"/><w:b w:val="0"/><w:bCs w:val="0"/><w:shd w:val="clear" w:fill="rgba(0,0,0,0)"/></w:rPr><w:t xml:space="preserve">131,613,917</w:t></w:r><w:r><w:rPr><w:rFonts w:ascii="Times New Roman" w:hAnsi="Times New Roman" w:eastAsia="Times New Roman" w:cs="Times New Roman"/><w:color w:val="rgba(0,0,0,1)"/><w:sz w:val="18"/><w:szCs w:val="18"/><w:b w:val="0"/><w:bCs w:val="0"/><w:shd w:val="clear" w:fill="rgba(0,0,0,0)"/></w:rPr><w:t xml:space="preserve"> and </w:t></w:r><w:r><w:rPr><w:rFonts w:ascii="Times New Roman" w:hAnsi="Times New Roman" w:eastAsia="Times New Roman" w:cs="Times New Roman"/><w:color w:val="rgba(0,0,0,1)"/><w:sz w:val="18"/><w:szCs w:val="18"/><w:b w:val="0"/><w:bCs w:val="0"/><w:shd w:val="clear" w:fill="rgba(0,0,0,0)"/></w:rPr><w:t xml:space="preserve">129,408,740</w:t></w:r><w:r><w:rPr><w:rFonts w:ascii="Times New Roman" w:hAnsi="Times New Roman" w:eastAsia="Times New Roman" w:cs="Times New Roman"/><w:color w:val="rgba(0,0,0,1)"/><w:sz w:val="18"/><w:szCs w:val="18"/><w:b w:val="0"/><w:bCs w:val="0"/><w:shd w:val="clear" w:fill="rgba(0,0,0,0)"/></w:rPr><w:t xml:space="preserve"> shares issued; </w:t></w:r><w:r><w:rPr><w:rFonts w:ascii="Times New Roman" w:hAnsi="Times New Roman" w:eastAsia="Times New Roman" w:cs="Times New Roman"/><w:color w:val="rgba(0,0,0,1)"/><w:sz w:val="18"/><w:szCs w:val="18"/><w:b w:val="0"/><w:bCs w:val="0"/><w:shd w:val="clear" w:fill="rgba(0,0,0,0)"/></w:rPr><w:t xml:space="preserve">130,885,369</w:t></w:r><w:r><w:rPr><w:rFonts w:ascii="Times New Roman" w:hAnsi="Times New Roman" w:eastAsia="Times New Roman" w:cs="Times New Roman"/><w:color w:val="rgba(0,0,0,1)"/><w:sz w:val="18"/><w:szCs w:val="18"/><w:b w:val="0"/><w:bCs w:val="0"/><w:shd w:val="clear" w:fill="rgba(0,0,0,0)"/></w:rPr><w:t xml:space="preserve"> and </w:t></w:r><w:r><w:rPr><w:rFonts w:ascii="Times New Roman" w:hAnsi="Times New Roman" w:eastAsia="Times New Roman" w:cs="Times New Roman"/><w:color w:val="rgba(0,0,0,1)"/><w:sz w:val="18"/><w:szCs w:val="18"/><w:b w:val="0"/><w:bCs w:val="0"/><w:shd w:val="clear" w:fill="rgba(0,0,0,0)"/></w:rPr><w:t xml:space="preserve">128,680,192</w:t></w:r><w:r><w:rPr><w:rFonts w:ascii="Times New Roman" w:hAnsi="Times New Roman" w:eastAsia="Times New Roman" w:cs="Times New Roman"/><w:color w:val="rgba(0,0,0,1)"/><w:sz w:val="18"/><w:szCs w:val="18"/><w:b w:val="0"/><w:bCs w:val="0"/><w:shd w:val="clear" w:fill="rgba(0,0,0,0)"/></w:rPr><w:t xml:space="preserve"> shares outstanding at June 30, 2022 and December 31, 2021, respectively.</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13</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13</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Additional paid-in capital</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307,374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302,155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Accumulated deficit</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r><w:rPr><w:rFonts w:ascii="Times New Roman" w:hAnsi="Times New Roman" w:eastAsia="Times New Roman" w:cs="Times New Roman"/><w:color w:val="rgba(0,0,0,1)"/><w:sz w:val="18"/><w:szCs w:val="18"/><w:b w:val="0"/><w:bCs w:val="0"/><w:shd w:val="clear" w:fill="rgba(0,0,0,0)"/></w:rPr><w:t xml:space="preserve">53,002</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r><w:rPr><w:rFonts w:ascii="Times New Roman" w:hAnsi="Times New Roman" w:eastAsia="Times New Roman" w:cs="Times New Roman"/><w:color w:val="rgba(0,0,0,1)"/><w:sz w:val="18"/><w:szCs w:val="18"/><w:b w:val="0"/><w:bCs w:val="0"/><w:shd w:val="clear" w:fill="rgba(0,0,0,0)"/></w:rPr><w:t xml:space="preserve">60,833</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r><w:tr><w:trPr><w:trHeight w:val="18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Total stockholders’ equity</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254,385</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241,335</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Total liabilities and stockholders’ equity</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456,357</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443,259</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0" w:after="0" w:line="276" w:lineRule="auto"/></w:pPr><w:r><w:rPr><w:rFonts w:ascii="Times New Roman" w:hAnsi="Times New Roman" w:eastAsia="Times New Roman" w:cs="Times New Roman"/><w:color w:val="rgba(0,0,0,1)"/><w:sz w:val="20"/><w:szCs w:val="20"/><w:b w:val="0"/><w:bCs w:val="0"/><w:shd w:val="clear" w:fill="rgba(0,0,0,0)"/></w:rPr><w:t xml:space="preserve">The accompanying notes are an integral part of these unaudited consolidated financial statements.</w:t></w:r><w:r><w:rPr><w:rFonts w:ascii="Times New Roman" w:hAnsi="Times New Roman" w:eastAsia="Times New Roman" w:cs="Times New Roman"/><w:color w:val="rgba(0,0,0,1)"/><w:sz w:val="20"/><w:szCs w:val="20"/><w:b w:val="0"/><w:bCs w:val="0"/></w:rPr><w:t xml:space="preserve"> </w:t></w:r></w:p><w:p><w:pPr><w:jc w:val="center"/><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4</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0" w:after="0" w:line="276" w:lineRule="auto"/></w:pPr><w:r><w:rPr><w:rFonts w:ascii="Times New Roman" w:hAnsi="Times New Roman" w:eastAsia="Times New Roman" w:cs="Times New Roman"/><w:color w:val="rgba(0,0,0,1)"/><w:sz w:val="20"/><w:szCs w:val="20"/><w:b w:val="1"/><w:bCs w:val="1"/><w:shd w:val="clear" w:fill="rgba(0,0,0,0)"/></w:rPr><w:t xml:space="preserve">ORGANOGENESIS HOLDINGS INC.</w:t></w:r></w:p><w:p><w:pPr><w:jc w:val="center"/><w:ind w:left="0" w:right="0" w:firstLine="0" w:hanging="0"/><w:spacing w:before="0" w:after="0" w:line="276" w:lineRule="auto"/></w:pPr><w:r><w:rPr><w:rFonts w:ascii="Times New Roman" w:hAnsi="Times New Roman" w:eastAsia="Times New Roman" w:cs="Times New Roman"/><w:color w:val="rgba(0,0,0,1)"/><w:sz w:val="20"/><w:szCs w:val="20"/><w:b w:val="1"/><w:bCs w:val="1"/><w:shd w:val="clear" w:fill="rgba(0,0,0,0)"/></w:rPr><w:t xml:space="preserve">CONSOLIDATED STATEME</w:t></w:r><w:r><w:rPr><w:rFonts w:ascii="Times New Roman" w:hAnsi="Times New Roman" w:eastAsia="Times New Roman" w:cs="Times New Roman"/><w:color w:val="rgba(0,0,0,1)"/><w:sz w:val="20"/><w:szCs w:val="20"/><w:b w:val="1"/><w:bCs w:val="1"/><w:shd w:val="clear" w:fill="rgba(0,0,0,0)"/></w:rPr><w:t xml:space="preserve">NTS OF OPERATIONS</w:t></w:r><w:r><w:rPr><w:rFonts w:ascii="Times New Roman" w:hAnsi="Times New Roman" w:eastAsia="Times New Roman" w:cs="Times New Roman"/><w:color w:val="rgba(0,0,0,1)"/><w:sz w:val="20"/><w:szCs w:val="20"/><w:b w:val="1"/><w:bCs w:val="1"/></w:rPr><w:t xml:space="preserve"> </w:t></w:r></w:p><w:p><w:pPr><w:jc w:val="center"/><w:ind w:left="0" w:right="0" w:firstLine="0" w:hanging="0"/><w:spacing w:before="0" w:after="0" w:line="276" w:lineRule="auto"/></w:pPr><w:r><w:rPr><w:rFonts w:ascii="Times New Roman" w:hAnsi="Times New Roman" w:eastAsia="Times New Roman" w:cs="Times New Roman"/><w:color w:val="rgba(0,0,0,1)"/><w:sz w:val="20"/><w:szCs w:val="20"/><w:b w:val="1"/><w:bCs w:val="1"/><w:shd w:val="clear" w:fill="rgba(0,0,0,0)"/></w:rPr><w:t xml:space="preserve">(unaudited)</w:t></w:r><w:r><w:rPr><w:rFonts w:ascii="Times New Roman" w:hAnsi="Times New Roman" w:eastAsia="Times New Roman" w:cs="Times New Roman"/><w:color w:val="rgba(0,0,0,1)"/><w:sz w:val="20"/><w:szCs w:val="20"/><w:b w:val="1"/><w:bCs w:val="1"/></w:rPr><w:t xml:space="preserve"> </w:t></w:r></w:p><w:p><w:pPr><w:jc w:val="center"/><w:ind w:left="0" w:right="0" w:firstLine="0" w:hanging="0"/><w:spacing w:before="0" w:after="0" w:line="276" w:lineRule="auto"/></w:pPr><w:r><w:rPr><w:rFonts w:ascii="Times New Roman" w:hAnsi="Times New Roman" w:eastAsia="Times New Roman" w:cs="Times New Roman"/><w:color w:val="rgba(0,0,0,1)"/><w:sz w:val="20"/><w:szCs w:val="20"/><w:b w:val="1"/><w:bCs w:val="1"/><w:shd w:val="clear" w:fill="rgba(0,0,0,0)"/></w:rPr><w:t xml:space="preserve">(amounts in thousands, except share and per share data)</w:t></w:r><w:r><w:rPr><w:rFonts w:ascii="Times New Roman" w:hAnsi="Times New Roman" w:eastAsia="Times New Roman" w:cs="Times New Roman"/><w:color w:val="rgba(0,0,0,1)"/><w:sz w:val="20"/><w:szCs w:val="20"/><w:b w:val="1"/><w:bCs w:val="1"/></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24300" w:type="dxa"/><w:gridCol w:w="550" w:type="dxa"/><w:gridCol w:w="0" w:type="dxa"/><w:gridCol w:w="4600" w:type="dxa"/><w:gridCol w:w="0" w:type="dxa"/><w:gridCol w:w="550" w:type="dxa"/><w:gridCol w:w="0" w:type="dxa"/><w:gridCol w:w="35800000000000050" w:type="dxa"/><w:gridCol w:w="0" w:type="dxa"/><w:gridCol w:w="550" w:type="dxa"/><w:gridCol w:w="0" w:type="dxa"/><w:gridCol w:w="8050" w:type="dxa"/><w:gridCol w:w="0" w:type="dxa"/><w:gridCol w:w="550" w:type="dxa"/><w:gridCol w:w="0" w:type="dxa"/><w:gridCol w:w="33550" w:type="dxa"/><w:gridCol w:w="0" w:type="dxa"/></w:tblGrid><w:tblPr><w:tblW w:w="0" w:type="pct"/><w:tblLayout w:type="autofit"/></w:tblPr><w:tr><w:trPr/><w:tc><w:tcPr><w:tcW w:w="24300" w:type="pct"/><w:noWrap/></w:tcPr><w:p><w:pPr/></w:p></w:tc><w:tc><w:tcPr><w:tcW w:w="550" w:type="pct"/><w:noWrap/></w:tcPr><w:p><w:pPr/></w:p></w:tc><w:tc><w:tcPr><w:tcW w:w="0" w:type="pct"/><w:noWrap/></w:tcPr><w:p><w:pPr/></w:p></w:tc><w:tc><w:tcPr><w:tcW w:w="4600" w:type="pct"/><w:noWrap/></w:tcPr><w:p><w:pPr/></w:p></w:tc><w:tc><w:tcPr><w:tcW w:w="0" w:type="pct"/><w:noWrap/></w:tcPr><w:p><w:pPr/></w:p></w:tc><w:tc><w:tcPr><w:tcW w:w="550" w:type="pct"/><w:noWrap/></w:tcPr><w:p><w:pPr/></w:p></w:tc><w:tc><w:tcPr><w:tcW w:w="0" w:type="pct"/><w:noWrap/></w:tcPr><w:p><w:pPr/></w:p></w:tc><w:tc><w:tcPr><w:tcW w:w="35800000000000050" w:type="pct"/><w:noWrap/></w:tcPr><w:p><w:pPr/></w:p></w:tc><w:tc><w:tcPr><w:tcW w:w="0" w:type="pct"/><w:noWrap/></w:tcPr><w:p><w:pPr/></w:p></w:tc><w:tc><w:tcPr><w:tcW w:w="550" w:type="pct"/><w:noWrap/></w:tcPr><w:p><w:pPr/></w:p></w:tc><w:tc><w:tcPr><w:tcW w:w="0" w:type="pct"/><w:noWrap/></w:tcPr><w:p><w:pPr/></w:p></w:tc><w:tc><w:tcPr><w:tcW w:w="8050" w:type="pct"/><w:noWrap/></w:tcPr><w:p><w:pPr/></w:p></w:tc><w:tc><w:tcPr><w:tcW w:w="0" w:type="pct"/><w:noWrap/></w:tcPr><w:p><w:pPr/></w:p></w:tc><w:tc><w:tcPr><w:tcW w:w="550" w:type="pct"/><w:noWrap/></w:tcPr><w:p><w:pPr/></w:p></w:tc><w:tc><w:tcPr><w:tcW w:w="0" w:type="pct"/><w:noWrap/></w:tcPr><w:p><w:pPr/></w:p></w:tc><w:tc><w:tcPr><w:tcW w:w="33550" w:type="pct"/><w:noWrap/></w:tcPr><w:p><w:pPr/></w:p></w:tc><w:tc><w:tcPr><w:tcW w:w="0" w:type="pct"/><w:noWrap/></w:tcPr><w:p><w:pP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Three Months Ended</w:t></w:r><w:br/><w:r><w:rPr><w:rFonts w:ascii="Times New Roman" w:hAnsi="Times New Roman" w:eastAsia="Times New Roman" w:cs="Times New Roman"/><w:color w:val="rgba(0,0,0,1)"/><w:sz w:val="16"/><w:szCs w:val="16"/><w:b w:val="1"/><w:bCs w:val="1"/><w:shd w:val="clear" w:fill="rgba(0,0,0,0)"/></w:rPr><w:t xml:space="preserve">June 30,</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Six Months Ended</w:t></w:r><w:br/><w:r><w:rPr><w:rFonts w:ascii="Times New Roman" w:hAnsi="Times New Roman" w:eastAsia="Times New Roman" w:cs="Times New Roman"/><w:color w:val="rgba(0,0,0,1)"/><w:sz w:val="16"/><w:szCs w:val="16"/><w:b w:val="1"/><w:bCs w:val="1"/><w:shd w:val="clear" w:fill="rgba(0,0,0,0)"/></w:rPr><w:t xml:space="preserve">June 30,</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Net revenue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121,401</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123,196</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218,518</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225,748</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Cost of goods sold</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26,652</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29,940</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51,732</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55,435</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Gross profit</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94,749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93,256</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166,786</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170,313</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Operating expenses:</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Selling, general and administrative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72,609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62,349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136,187</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120,581</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Research and development</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10,205</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7,320</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18,792</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13,529</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Total operating expenses</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82,814</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69,669</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154,979</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134,110</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Income from operations</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11,935</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23,587</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11,807</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36,203</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Other expense, net:</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Interest expense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730</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2,431</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1,467</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4,901</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r><w:trPr><w:trHeight w:val="20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Other expense, net</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21</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18</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24</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15</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Total other expense, net</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751</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2,413</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1,491</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4,886</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r><w:trPr><w:trHeight w:val="20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Net income before income taxes</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11,184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21,174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10,316</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31,317</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Income tax expense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2,440</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487</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2,485</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687</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r><w:trPr><w:trHeight w:val="20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Net income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8,744</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20,687</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7,831</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30,630</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w:szCs w:val="2"/><w:shd w:val="clear" w:fill="rgba(0,0,0,0)"/></w:rPr><w:t xml:space="preserve"> </w:t></w:r></w:p></w:tc><w:tc><w:tcPr><w:tcW w:w="0" w:type="pct"/><w:vAlign w:val="bottom"/><w:shd w:val="clear" w:fill="rgba(0,0,0,0)"/><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w:szCs w:val="2"/><w:shd w:val="clear" w:fill="rgba(0,0,0,0)"/></w:rPr><w:t xml:space="preserve"> </w:t></w:r></w:p></w:tc><w:tc><w:tcPr><w:tcW w:w="0" w:type="pct"/><w:vAlign w:val="bottom"/><w:shd w:val="clear" w:fill="rgba(0,0,0,0)"/><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w:szCs w:val="2"/><w:shd w:val="clear" w:fill="rgba(0,0,0,0)"/></w:rPr><w:t xml:space="preserve"> </w:t></w:r></w:p></w:tc><w:tc><w:tcPr><w:tcW w:w="0" w:type="pct"/><w:vAlign w:val="bottom"/><w:shd w:val="clear" w:fill="rgba(0,0,0,0)"/><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w:szCs w:val="2"/><w:shd w:val="clear" w:fill="rgba(0,0,0,0)"/></w:rPr><w:t xml:space="preserve"> </w:t></w:r></w:p></w:tc><w:tc><w:tcPr><w:tcW w:w="0" w:type="pct"/><w:vAlign w:val="bottom"/><w:shd w:val="clear" w:fill="rgba(0,0,0,0)"/><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Net income, per share: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w:szCs w:val="2"/><w:shd w:val="clear" w:fill="rgba(0,0,0,0)"/></w:rPr><w:t xml:space="preserve"> </w:t></w:r></w:p></w:tc><w:tc><w:tcPr><w:tcW w:w="0" w:type="pct"/><w:vAlign w:val="bottom"/><w:shd w:val="clear" w:fill="rgba(0,0,0,0)"/><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w:szCs w:val="2"/><w:shd w:val="clear" w:fill="rgba(0,0,0,0)"/></w:rPr><w:t xml:space="preserve"> </w:t></w:r></w:p></w:tc><w:tc><w:tcPr><w:tcW w:w="0" w:type="pct"/><w:vAlign w:val="bottom"/><w:shd w:val="clear" w:fill="rgba(0,0,0,0)"/><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w:szCs w:val="2"/><w:shd w:val="clear" w:fill="rgba(0,0,0,0)"/></w:rPr><w:t xml:space="preserve"> </w:t></w:r></w:p></w:tc><w:tc><w:tcPr><w:tcW w:w="0" w:type="pct"/><w:vAlign w:val="bottom"/><w:shd w:val="clear" w:fill="rgba(0,0,0,0)"/><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w:szCs w:val="2"/><w:shd w:val="clear" w:fill="rgba(0,0,0,0)"/></w:rPr><w:t xml:space="preserve"> </w:t></w:r></w:p></w:tc><w:tc><w:tcPr><w:tcW w:w="0" w:type="pct"/><w:vAlign w:val="bottom"/><w:shd w:val="clear" w:fill="rgba(0,0,0,0)"/><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Basic</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0.07</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0.16</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0.06</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0.24</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Diluted</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0.07</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0.15</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0.06</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0.23</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Weighted-average common shares outstanding</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Basic</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w:szCs w:val="2"/><w:shd w:val="clear" w:fill="rgba(0,0,0,0)"/></w:rPr><w:t xml:space="preserve"> </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129,635,682</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w:szCs w:val="2"/><w:shd w:val="clear" w:fill="rgba(0,0,0,0)"/></w:rPr><w:t xml:space="preserve"> </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128,235,224</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w:szCs w:val="2"/><w:shd w:val="clear" w:fill="rgba(0,0,0,0)"/></w:rPr><w:t xml:space="preserve"> </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129,214,541</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w:szCs w:val="2"/><w:shd w:val="clear" w:fill="rgba(0,0,0,0)"/></w:rPr><w:t xml:space="preserve"> </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128,053,654</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Diluted</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132,600,579</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133,988,413</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132,705,206</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133,721,191</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0" w:after="0" w:line="276" w:lineRule="auto"/></w:pPr><w:r><w:rPr><w:rFonts w:ascii="Times New Roman" w:hAnsi="Times New Roman" w:eastAsia="Times New Roman" w:cs="Times New Roman"/><w:color w:val="rgba(0,0,0,1)"/><w:sz w:val="20"/><w:szCs w:val="20"/><w:b w:val="0"/><w:bCs w:val="0"/><w:shd w:val="clear" w:fill="rgba(0,0,0,0)"/></w:rPr><w:t xml:space="preserve">The accompanying notes are an integral part of these unaudited consolidated financial statements.</w:t></w:r><w:r><w:rPr><w:rFonts w:ascii="Times New Roman" w:hAnsi="Times New Roman" w:eastAsia="Times New Roman" w:cs="Times New Roman"/><w:color w:val="rgba(0,0,0,1)"/><w:sz w:val="20"/><w:szCs w:val="20"/><w:b w:val="0"/><w:bCs w:val="0"/></w:rPr><w:t xml:space="preserve"> </w:t></w:r></w:p><w:p><w:pPr><w:jc w:val="start"/><w:ind w:left="0" w:right="0" w:firstLine="0" w:hanging="0"/><w:spacing w:before="360" w:after="0" w:line="276" w:lineRule="auto"/></w:pPr><w:r><w:rPr><w:rFonts w:ascii="Times New Roman" w:hAnsi="Times New Roman" w:eastAsia="Times New Roman" w:cs="Times New Roman"/><w:color w:val="rgba(0,0,0,1)"/><w:sz w:val="2"/><w:szCs w:val="2"/><w:b w:val="0"/><w:bCs w:val="0"/></w:rPr><w:t xml:space="preserve"> </w:t></w:r><w:r><w:rPr><w:rFonts w:ascii="Times New Roman" w:hAnsi="Times New Roman" w:eastAsia="Times New Roman" w:cs="Times New Roman"/><w:sz w:val="20"/><w:szCs w:val="20"/></w:rPr><w:t xml:space="preserve"> </w:t></w:r></w:p><w:p><w:pPr><w:jc w:val="center"/><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5</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0" w:after="0" w:line="276" w:lineRule="auto"/></w:pPr><w:r><w:rPr><w:rFonts w:ascii="Times New Roman" w:hAnsi="Times New Roman" w:eastAsia="Times New Roman" w:cs="Times New Roman"/><w:color w:val="rgba(0,0,0,1)"/><w:sz w:val="20"/><w:szCs w:val="20"/><w:b w:val="1"/><w:bCs w:val="1"/><w:shd w:val="clear" w:fill="rgba(0,0,0,0)"/></w:rPr><w:t xml:space="preserve">ORGANOGENESIS HOLDINGS INC.</w:t></w:r><w:r><w:rPr><w:rFonts w:ascii="Times New Roman" w:hAnsi="Times New Roman" w:eastAsia="Times New Roman" w:cs="Times New Roman"/><w:color w:val="rgba(0,0,0,1)"/><w:sz w:val="20"/><w:szCs w:val="20"/><w:b w:val="1"/><w:bCs w:val="1"/></w:rPr><w:t xml:space="preserve"> </w:t></w:r></w:p><w:p><w:pPr><w:jc w:val="center"/><w:ind w:left="0" w:right="0" w:firstLine="0" w:hanging="0"/><w:spacing w:before="0" w:after="0" w:line="276" w:lineRule="auto"/></w:pPr><w:r><w:rPr><w:rFonts w:ascii="Times New Roman" w:hAnsi="Times New Roman" w:eastAsia="Times New Roman" w:cs="Times New Roman"/><w:color w:val="rgba(0,0,0,1)"/><w:sz w:val="20"/><w:szCs w:val="20"/><w:b w:val="1"/><w:bCs w:val="1"/><w:shd w:val="clear" w:fill="rgba(0,0,0,0)"/></w:rPr><w:t xml:space="preserve">CONSOLIDATED STATEME</w:t></w:r><w:r><w:rPr><w:rFonts w:ascii="Times New Roman" w:hAnsi="Times New Roman" w:eastAsia="Times New Roman" w:cs="Times New Roman"/><w:color w:val="rgba(0,0,0,1)"/><w:sz w:val="20"/><w:szCs w:val="20"/><w:b w:val="1"/><w:bCs w:val="1"/><w:shd w:val="clear" w:fill="rgba(0,0,0,0)"/></w:rPr><w:t xml:space="preserve">NTS OF STOCKHOLDERS’ EQUITY</w:t></w:r></w:p><w:p><w:pPr><w:jc w:val="center"/><w:ind w:left="0" w:right="0" w:firstLine="0" w:hanging="0"/><w:spacing w:before="0" w:after="0" w:line="276" w:lineRule="auto"/></w:pPr><w:r><w:rPr><w:rFonts w:ascii="Times New Roman" w:hAnsi="Times New Roman" w:eastAsia="Times New Roman" w:cs="Times New Roman"/><w:color w:val="rgba(0,0,0,1)"/><w:sz w:val="20"/><w:szCs w:val="20"/><w:b w:val="1"/><w:bCs w:val="1"/><w:shd w:val="clear" w:fill="rgba(0,0,0,0)"/></w:rPr><w:t xml:space="preserve">(unaudited)</w:t></w:r><w:r><w:rPr><w:rFonts w:ascii="Times New Roman" w:hAnsi="Times New Roman" w:eastAsia="Times New Roman" w:cs="Times New Roman"/><w:color w:val="rgba(0,0,0,1)"/><w:sz w:val="20"/><w:szCs w:val="20"/><w:b w:val="1"/><w:bCs w:val="1"/></w:rPr><w:t xml:space="preserve"> </w:t></w:r></w:p><w:p><w:pPr><w:jc w:val="center"/><w:ind w:left="0" w:right="0" w:firstLine="0" w:hanging="0"/><w:spacing w:before="0" w:after="0" w:line="276" w:lineRule="auto"/></w:pPr><w:r><w:rPr><w:rFonts w:ascii="Times New Roman" w:hAnsi="Times New Roman" w:eastAsia="Times New Roman" w:cs="Times New Roman"/><w:color w:val="rgba(0,0,0,1)"/><w:sz w:val="20"/><w:szCs w:val="20"/><w:b w:val="1"/><w:bCs w:val="1"/><w:shd w:val="clear" w:fill="rgba(0,0,0,0)"/></w:rPr><w:t xml:space="preserve">(amounts in thousands, except share data)</w:t></w:r><w:r><w:rPr><w:rFonts w:ascii="Times New Roman" w:hAnsi="Times New Roman" w:eastAsia="Times New Roman" w:cs="Times New Roman"/><w:color w:val="rgba(0,0,0,1)"/><w:sz w:val="20"/><w:szCs w:val="20"/><w:b w:val="1"/><w:bCs w:val="1"/></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26850" w:type="dxa"/><w:gridCol w:w="17250" w:type="dxa"/><w:gridCol w:w="0" w:type="dxa"/><w:gridCol w:w="43200" w:type="dxa"/><w:gridCol w:w="0" w:type="dxa"/><w:gridCol w:w="17250" w:type="dxa"/><w:gridCol w:w="0" w:type="dxa"/><w:gridCol w:w="45700" w:type="dxa"/><w:gridCol w:w="0" w:type="dxa"/><w:gridCol w:w="17250" w:type="dxa"/><w:gridCol w:w="0" w:type="dxa"/><w:gridCol w:w="43400" w:type="dxa"/><w:gridCol w:w="0" w:type="dxa"/><w:gridCol w:w="17250" w:type="dxa"/><w:gridCol w:w="0" w:type="dxa"/><w:gridCol w:w="49200000000000050" w:type="dxa"/><w:gridCol w:w="0" w:type="dxa"/><w:gridCol w:w="17250" w:type="dxa"/><w:gridCol w:w="0" w:type="dxa"/><w:gridCol w:w="5299999999999900" w:type="dxa"/><w:gridCol w:w="0" w:type="dxa"/></w:tblGrid><w:tblPr><w:tblW w:w="0" w:type="pct"/><w:tblLayout w:type="autofit"/></w:tblPr><w:tr><w:trPr/><w:tc><w:tcPr><w:tcW w:w="26850" w:type="pct"/><w:noWrap/></w:tcPr><w:p><w:pPr/></w:p></w:tc><w:tc><w:tcPr><w:tcW w:w="17250" w:type="pct"/><w:noWrap/></w:tcPr><w:p><w:pPr/></w:p></w:tc><w:tc><w:tcPr><w:tcW w:w="0" w:type="pct"/><w:noWrap/></w:tcPr><w:p><w:pPr/></w:p></w:tc><w:tc><w:tcPr><w:tcW w:w="43200" w:type="pct"/><w:noWrap/></w:tcPr><w:p><w:pPr/></w:p></w:tc><w:tc><w:tcPr><w:tcW w:w="0" w:type="pct"/><w:noWrap/></w:tcPr><w:p><w:pPr/></w:p></w:tc><w:tc><w:tcPr><w:tcW w:w="17250" w:type="pct"/><w:noWrap/></w:tcPr><w:p><w:pPr/></w:p></w:tc><w:tc><w:tcPr><w:tcW w:w="0" w:type="pct"/><w:noWrap/></w:tcPr><w:p><w:pPr/></w:p></w:tc><w:tc><w:tcPr><w:tcW w:w="45700" w:type="pct"/><w:noWrap/></w:tcPr><w:p><w:pPr/></w:p></w:tc><w:tc><w:tcPr><w:tcW w:w="0" w:type="pct"/><w:noWrap/></w:tcPr><w:p><w:pPr/></w:p></w:tc><w:tc><w:tcPr><w:tcW w:w="17250" w:type="pct"/><w:noWrap/></w:tcPr><w:p><w:pPr/></w:p></w:tc><w:tc><w:tcPr><w:tcW w:w="0" w:type="pct"/><w:noWrap/></w:tcPr><w:p><w:pPr/></w:p></w:tc><w:tc><w:tcPr><w:tcW w:w="43400" w:type="pct"/><w:noWrap/></w:tcPr><w:p><w:pPr/></w:p></w:tc><w:tc><w:tcPr><w:tcW w:w="0" w:type="pct"/><w:noWrap/></w:tcPr><w:p><w:pPr/></w:p></w:tc><w:tc><w:tcPr><w:tcW w:w="17250" w:type="pct"/><w:noWrap/></w:tcPr><w:p><w:pPr/></w:p></w:tc><w:tc><w:tcPr><w:tcW w:w="0" w:type="pct"/><w:noWrap/></w:tcPr><w:p><w:pPr/></w:p></w:tc><w:tc><w:tcPr><w:tcW w:w="49200000000000050" w:type="pct"/><w:noWrap/></w:tcPr><w:p><w:pPr/></w:p></w:tc><w:tc><w:tcPr><w:tcW w:w="0" w:type="pct"/><w:noWrap/></w:tcPr><w:p><w:pPr/></w:p></w:tc><w:tc><w:tcPr><w:tcW w:w="17250" w:type="pct"/><w:noWrap/></w:tcPr><w:p><w:pPr/></w:p></w:tc><w:tc><w:tcPr><w:tcW w:w="0" w:type="pct"/><w:noWrap/></w:tcPr><w:p><w:pPr/></w:p></w:tc><w:tc><w:tcPr><w:tcW w:w="5299999999999900" w:type="pct"/><w:noWrap/></w:tcPr><w:p><w:pPr/></w:p></w:tc><w:tc><w:tcPr><w:tcW w:w="0" w:type="pct"/><w:noWrap/></w:tcPr><w:p><w:pPr/></w:p></w:tc></w:tr><w:tr><w:trPr><w:trHeight w:val="14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bottom"/><w:tcBorders><w:bottom w:val="single" w:sz="5000" w:color="solid"/></w:tcBorders><w:shd w:val="clear" w:fill="rgba(0,0,0,0)"/><w:gridSpan w:val="18"/><w:noWrap/></w:tcPr><w:p><w:pPr><w:jc w:val="center"/><w:ind w:left="0" w:right="0" w:firstLine="0" w:hanging="0"/><w:spacing w:before="0" w:after="0" w:line="252" w:lineRule="auto"/></w:pPr><w:r><w:rPr><w:rFonts w:ascii="Times New Roman" w:hAnsi="Times New Roman" w:eastAsia="Times New Roman" w:cs="Times New Roman"/><w:color w:val="rgba(0,0,0,1)"/><w:sz w:val="14"/><w:szCs w:val="14"/><w:b w:val="1"/><w:bCs w:val="1"/><w:shd w:val="clear" w:fill="rgba(0,0,0,0)"/></w:rPr><w:t xml:space="preserve">Three and Six Months Ended June 30, 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r><w:tr><w:trPr><w:trHeight w:val="14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gridSpan w:val="2"/><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gridSpan w:val="2"/><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4"/><w:szCs w:val="14"/><w:b w:val="1"/><w:bCs w:val="1"/><w:shd w:val="clear" w:fill="rgba(0,0,0,0)"/></w:rPr><w:t xml:space="preserve">Additional</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gridSpan w:val="2"/><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bottom"/><w:shd w:val="clear" w:fill="rgba(0,0,0,0)"/><w:gridSpan w:val="2"/><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r><w:tr><w:trPr><w:trHeight w:val="14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bottom"/><w:tcBorders><w:bottom w:val="single" w:sz="5000" w:color="solid"/></w:tcBorders><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4"/><w:szCs w:val="14"/><w:b w:val="1"/><w:bCs w:val="1"/><w:shd w:val="clear" w:fill="rgba(0,0,0,0)"/></w:rPr><w:t xml:space="preserve">Common Stock</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4"/><w:szCs w:val="14"/><w:b w:val="1"/><w:bCs w:val="1"/><w:shd w:val="clear" w:fill="rgba(0,0,0,0)"/></w:rPr><w:t xml:space="preserve">Paid-in</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4"/><w:szCs w:val="14"/><w:b w:val="1"/><w:bCs w:val="1"/><w:shd w:val="clear" w:fill="rgba(0,0,0,0)"/></w:rPr><w:t xml:space="preserve">Accumulated</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4"/><w:szCs w:val="14"/><w:b w:val="1"/><w:bCs w:val="1"/><w:shd w:val="clear" w:fill="rgba(0,0,0,0)"/></w:rPr><w:t xml:space="preserve">Total</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r><w:tr><w:trPr><w:trHeight w:val="14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4"/><w:szCs w:val="14"/><w:b w:val="1"/><w:bCs w:val="1"/><w:shd w:val="clear" w:fill="rgba(0,0,0,0)"/></w:rPr><w:t xml:space="preserve">Shares</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4"/><w:szCs w:val="14"/><w:b w:val="1"/><w:bCs w:val="1"/><w:shd w:val="clear" w:fill="rgba(0,0,0,0)"/></w:rPr><w:t xml:space="preserve">Amount</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4"/><w:szCs w:val="14"/><w:b w:val="1"/><w:bCs w:val="1"/><w:shd w:val="clear" w:fill="rgba(0,0,0,0)"/></w:rPr><w:t xml:space="preserve">Capital</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4"/><w:szCs w:val="14"/><w:b w:val="1"/><w:bCs w:val="1"/><w:shd w:val="clear" w:fill="rgba(0,0,0,0)"/></w:rPr><w:t xml:space="preserve">Deficit</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4"/><w:szCs w:val="14"/><w:b w:val="1"/><w:bCs w:val="1"/><w:shd w:val="clear" w:fill="rgba(0,0,0,0)"/></w:rPr><w:t xml:space="preserve">Stockholders’ Equity</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Balance as of March 31, 2022 (as reported)</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4"/><w:szCs w:val="14"/><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128,887,184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13</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303,261</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60,046</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243,228</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Adjustment due to settlement of GPO fee dispute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1,700</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1,700</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Balance as of March 31, 2022 (as adjusted)</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128,887,184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13</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303,261</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61,746</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241,528</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Exercise of stock options</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1,759,776</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1,751</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1,751</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Vesting of RSUs, net of shares surrendered to pay taxes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34,924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158</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158</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Issuance of common stock associated with business acquisition</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203,485</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828</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828</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Stock-based compensation expense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1,692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1,692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Net income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8,744</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8,744</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Balance as of June 30, 2022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130,885,369</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13</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307,374</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53,002</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254,385</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Balance as of December 31, 2021 (as reported)</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4"/><w:szCs w:val="14"/><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128,680,192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13</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302,155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60,133</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242,035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Adjustment due to settlement of GPO fee dispute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700</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700</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Balance as of December 31, 2021 (as adjusted)</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128,680,192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13</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302,155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60,833</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241,335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Exercise of stock options</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1,845,897</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2,042</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2,042</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Vesting of RSUs, net of shares surrendered to pay taxes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155,795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646</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646</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Issuance of common stock associated with business acquisition</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203,485</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828</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828</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Stock-based compensation expense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2,995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2,995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Net income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7,831</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7,831</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Balance as of June 30, 2022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130,885,369</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13</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307,374</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53,002</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254,385</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bottom"/><w:shd w:val="clear" w:fill="rgba(0,0,0,0)"/><w:gridSpan w:val="2"/><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center"/><w:shd w:val="clear" w:fill="rgba(0,0,0,0)"/><w:gridSpan w:val="2"/><w:noWrap/></w:tcPr><w:p><w:pPr><w:jc w:val="center"/><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center"/><w:shd w:val="clear" w:fill="rgba(0,0,0,0)"/><w:gridSpan w:val="2"/><w:noWrap/></w:tcPr><w:p><w:pPr><w:jc w:val="center"/><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center"/><w:shd w:val="clear" w:fill="rgba(0,0,0,0)"/><w:gridSpan w:val="2"/><w:noWrap/></w:tcPr><w:p><w:pPr><w:jc w:val="center"/><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center"/><w:shd w:val="clear" w:fill="rgba(0,0,0,0)"/><w:gridSpan w:val="2"/><w:noWrap/></w:tcPr><w:p><w:pPr><w:jc w:val="center"/><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2"/><w:szCs w:val="12"/><w:shd w:val="clear" w:fill="rgba(0,0,0,0)"/></w:rPr><w:t xml:space="preserve"> </w:t></w:r></w:p></w:tc></w:tr><w:tr><w:trPr><w:trHeight w:val="14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bottom"/><w:tcBorders><w:bottom w:val="single" w:sz="5000" w:color="solid"/></w:tcBorders><w:shd w:val="clear" w:fill="rgba(0,0,0,0)"/><w:gridSpan w:val="18"/><w:noWrap/></w:tcPr><w:p><w:pPr><w:jc w:val="center"/><w:ind w:left="0" w:right="0" w:firstLine="0" w:hanging="0"/><w:spacing w:before="0" w:after="0" w:line="252" w:lineRule="auto"/></w:pPr><w:r><w:rPr><w:rFonts w:ascii="Times New Roman" w:hAnsi="Times New Roman" w:eastAsia="Times New Roman" w:cs="Times New Roman"/><w:color w:val="rgba(0,0,0,1)"/><w:sz w:val="14"/><w:szCs w:val="14"/><w:b w:val="1"/><w:bCs w:val="1"/><w:shd w:val="clear" w:fill="rgba(0,0,0,0)"/></w:rPr><w:t xml:space="preserve">Three and Six Months Ended June 30, 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r><w:tr><w:trPr><w:trHeight w:val="14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gridSpan w:val="2"/><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gridSpan w:val="2"/><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4"/><w:szCs w:val="14"/><w:b w:val="1"/><w:bCs w:val="1"/><w:shd w:val="clear" w:fill="rgba(0,0,0,0)"/></w:rPr><w:t xml:space="preserve">Additional</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gridSpan w:val="2"/><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bottom"/><w:shd w:val="clear" w:fill="rgba(0,0,0,0)"/><w:gridSpan w:val="2"/><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r><w:tr><w:trPr><w:trHeight w:val="14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bottom"/><w:tcBorders><w:bottom w:val="single" w:sz="5000" w:color="solid"/></w:tcBorders><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4"/><w:szCs w:val="14"/><w:b w:val="1"/><w:bCs w:val="1"/><w:shd w:val="clear" w:fill="rgba(0,0,0,0)"/></w:rPr><w:t xml:space="preserve">Common Stock</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4"/><w:szCs w:val="14"/><w:b w:val="1"/><w:bCs w:val="1"/><w:shd w:val="clear" w:fill="rgba(0,0,0,0)"/></w:rPr><w:t xml:space="preserve">Paid-in</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4"/><w:szCs w:val="14"/><w:b w:val="1"/><w:bCs w:val="1"/><w:shd w:val="clear" w:fill="rgba(0,0,0,0)"/></w:rPr><w:t xml:space="preserve">Accumulated</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4"/><w:szCs w:val="14"/><w:b w:val="1"/><w:bCs w:val="1"/><w:shd w:val="clear" w:fill="rgba(0,0,0,0)"/></w:rPr><w:t xml:space="preserve">Total</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r><w:tr><w:trPr><w:trHeight w:val="14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4"/><w:szCs w:val="14"/><w:b w:val="1"/><w:bCs w:val="1"/><w:shd w:val="clear" w:fill="rgba(0,0,0,0)"/></w:rPr><w:t xml:space="preserve">Shares</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4"/><w:szCs w:val="14"/><w:b w:val="1"/><w:bCs w:val="1"/><w:shd w:val="clear" w:fill="rgba(0,0,0,0)"/></w:rPr><w:t xml:space="preserve">Amount</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4"/><w:szCs w:val="14"/><w:b w:val="1"/><w:bCs w:val="1"/><w:shd w:val="clear" w:fill="rgba(0,0,0,0)"/></w:rPr><w:t xml:space="preserve">Capital</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4"/><w:szCs w:val="14"/><w:b w:val="1"/><w:bCs w:val="1"/><w:shd w:val="clear" w:fill="rgba(0,0,0,0)"/></w:rPr><w:t xml:space="preserve">Deficit</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4"/><w:szCs w:val="14"/><w:b w:val="1"/><w:bCs w:val="1"/><w:shd w:val="clear" w:fill="rgba(0,0,0,0)"/></w:rPr><w:t xml:space="preserve">Stockholders’ Equity</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4"/><w:szCs w:val="14"/><w:shd w:val="clear" w:fill="rgba(0,0,0,0)"/></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Balance as of March 31, 2021</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128,102,255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13</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298,095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145,092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153,016</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Exercise of stock options</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78,163</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221</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221</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Vesting of RSUs, net of shares surrendered to pay taxes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102,823</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320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320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Stock-based compensation expense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1,042</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1,042</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Net income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20,687</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20,687</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Balance as of June 30, 2021</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128,283,241</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13</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299,038</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124,405</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174,646</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w:szCs w:val="2"/><w:shd w:val="clear" w:fill="rgba(0,0,0,0)"/></w:rPr><w:t xml:space="preserve"> </w:t></w:r></w:p></w:tc><w:tc><w:tcPr><w:tcW w:w="0" w:type="pct"/><w:vAlign w:val="center"/><w:shd w:val="clear" w:fill="rgba(0,0,0,0)"/><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Balance as of December 31, 2020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127,731,833</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13</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296,830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155,035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141,808</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Exercise of stock options</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363,507</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1,205</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1,205</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Vesting of RSUs, net of shares surrendered to pay taxes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187,901</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737</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737</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Stock-based compensation expense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1,740</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1,740</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Net income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30,630</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30,630</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Balance as of June 30, 2021</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128,283,241</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13</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299,038</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124,405</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174,646</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0" w:after="0" w:line="276" w:lineRule="auto"/></w:pPr><w:r><w:rPr><w:rFonts w:ascii="Times New Roman" w:hAnsi="Times New Roman" w:eastAsia="Times New Roman" w:cs="Times New Roman"/><w:color w:val="rgba(0,0,0,1)"/><w:sz w:val="20"/><w:szCs w:val="20"/><w:b w:val="0"/><w:bCs w:val="0"/><w:shd w:val="clear" w:fill="rgba(0,0,0,0)"/></w:rPr><w:t xml:space="preserve">The accompanying notes are an integral part of these unaudited consolidated financial statements.</w:t></w:r></w:p><w:p><w:pPr><w:jc w:val="center"/><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6</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0" w:after="0" w:line="276" w:lineRule="auto"/></w:pPr><w:r><w:rPr><w:rFonts w:ascii="Times New Roman" w:hAnsi="Times New Roman" w:eastAsia="Times New Roman" w:cs="Times New Roman"/><w:color w:val="rgba(0,0,0,1)"/><w:sz w:val="20"/><w:szCs w:val="20"/><w:b w:val="1"/><w:bCs w:val="1"/><w:shd w:val="clear" w:fill="rgba(0,0,0,0)"/></w:rPr><w:t xml:space="preserve">ORGANOGENESIS HOLDINGS INC.</w:t></w:r></w:p><w:p><w:pPr><w:jc w:val="center"/><w:ind w:left="0" w:right="0" w:firstLine="0" w:hanging="0"/><w:spacing w:before="0" w:after="0" w:line="276" w:lineRule="auto"/></w:pPr><w:r><w:rPr><w:rFonts w:ascii="Times New Roman" w:hAnsi="Times New Roman" w:eastAsia="Times New Roman" w:cs="Times New Roman"/><w:color w:val="rgba(0,0,0,1)"/><w:sz w:val="20"/><w:szCs w:val="20"/><w:b w:val="1"/><w:bCs w:val="1"/><w:shd w:val="clear" w:fill="rgba(0,0,0,0)"/></w:rPr><w:t xml:space="preserve">CONSOLIDATED STATEM</w:t></w:r><w:r><w:rPr><w:rFonts w:ascii="Times New Roman" w:hAnsi="Times New Roman" w:eastAsia="Times New Roman" w:cs="Times New Roman"/><w:color w:val="rgba(0,0,0,1)"/><w:sz w:val="20"/><w:szCs w:val="20"/><w:b w:val="1"/><w:bCs w:val="1"/><w:shd w:val="clear" w:fill="rgba(0,0,0,0)"/></w:rPr><w:t xml:space="preserve">ENTS OF CASH FLOWS</w:t></w:r><w:r><w:rPr><w:rFonts w:ascii="Times New Roman" w:hAnsi="Times New Roman" w:eastAsia="Times New Roman" w:cs="Times New Roman"/><w:color w:val="rgba(0,0,0,1)"/><w:sz w:val="20"/><w:szCs w:val="20"/><w:b w:val="1"/><w:bCs w:val="1"/></w:rPr><w:t xml:space="preserve"> </w:t></w:r></w:p><w:p><w:pPr><w:jc w:val="center"/><w:ind w:left="0" w:right="0" w:firstLine="0" w:hanging="0"/><w:spacing w:before="0" w:after="0" w:line="276" w:lineRule="auto"/></w:pPr><w:r><w:rPr><w:rFonts w:ascii="Times New Roman" w:hAnsi="Times New Roman" w:eastAsia="Times New Roman" w:cs="Times New Roman"/><w:color w:val="rgba(0,0,0,1)"/><w:sz w:val="20"/><w:szCs w:val="20"/><w:b w:val="1"/><w:bCs w:val="1"/><w:shd w:val="clear" w:fill="rgba(0,0,0,0)"/></w:rPr><w:t xml:space="preserve">(unaudited)</w:t></w:r><w:r><w:rPr><w:rFonts w:ascii="Times New Roman" w:hAnsi="Times New Roman" w:eastAsia="Times New Roman" w:cs="Times New Roman"/><w:color w:val="rgba(0,0,0,1)"/><w:sz w:val="20"/><w:szCs w:val="20"/><w:b w:val="1"/><w:bCs w:val="1"/></w:rPr><w:t xml:space="preserve"> </w:t></w:r></w:p><w:p><w:pPr><w:jc w:val="center"/><w:ind w:left="0" w:right="0" w:firstLine="0" w:hanging="0"/><w:spacing w:before="0" w:after="0" w:line="276" w:lineRule="auto"/></w:pPr><w:r><w:rPr><w:rFonts w:ascii="Times New Roman" w:hAnsi="Times New Roman" w:eastAsia="Times New Roman" w:cs="Times New Roman"/><w:color w:val="rgba(0,0,0,1)"/><w:sz w:val="20"/><w:szCs w:val="20"/><w:b w:val="1"/><w:bCs w:val="1"/><w:shd w:val="clear" w:fill="rgba(0,0,0,0)"/></w:rPr><w:t xml:space="preserve">(amounts in thousands)</w:t></w:r><w:r><w:rPr><w:rFonts w:ascii="Times New Roman" w:hAnsi="Times New Roman" w:eastAsia="Times New Roman" w:cs="Times New Roman"/><w:color w:val="rgba(0,0,0,1)"/><w:sz w:val="20"/><w:szCs w:val="20"/><w:b w:val="1"/><w:bCs w:val="1"/></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41900" w:type="dxa"/><w:gridCol w:w="32100" w:type="dxa"/><w:gridCol w:w="0" w:type="dxa"/><w:gridCol w:w="12900" w:type="dxa"/><w:gridCol w:w="0" w:type="dxa"/><w:gridCol w:w="32100" w:type="dxa"/><w:gridCol w:w="0" w:type="dxa"/><w:gridCol w:w="3100" w:type="dxa"/><w:gridCol w:w="0" w:type="dxa"/></w:tblGrid><w:tblPr><w:tblW w:w="0" w:type="pct"/><w:tblLayout w:type="autofit"/></w:tblPr><w:tr><w:trPr/><w:tc><w:tcPr><w:tcW w:w="41900" w:type="pct"/><w:noWrap/></w:tcPr><w:p><w:pPr/></w:p></w:tc><w:tc><w:tcPr><w:tcW w:w="32100" w:type="pct"/><w:noWrap/></w:tcPr><w:p><w:pPr/></w:p></w:tc><w:tc><w:tcPr><w:tcW w:w="0" w:type="pct"/><w:noWrap/></w:tcPr><w:p><w:pPr/></w:p></w:tc><w:tc><w:tcPr><w:tcW w:w="12900" w:type="pct"/><w:noWrap/></w:tcPr><w:p><w:pPr/></w:p></w:tc><w:tc><w:tcPr><w:tcW w:w="0" w:type="pct"/><w:noWrap/></w:tcPr><w:p><w:pPr/></w:p></w:tc><w:tc><w:tcPr><w:tcW w:w="32100" w:type="pct"/><w:noWrap/></w:tcPr><w:p><w:pPr/></w:p></w:tc><w:tc><w:tcPr><w:tcW w:w="0" w:type="pct"/><w:noWrap/></w:tcPr><w:p><w:pPr/></w:p></w:tc><w:tc><w:tcPr><w:tcW w:w="3100" w:type="pct"/><w:noWrap/></w:tcPr><w:p><w:pPr/></w:p></w:tc><w:tc><w:tcPr><w:tcW w:w="0" w:type="pct"/><w:noWrap/></w:tcPr><w:p><w:pPr/></w:p></w:tc></w:tr><w:tr><w:trPr><w:trHeight w:val="16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Six Months Ended</w:t></w:r><w:br/><w:r><w:rPr><w:rFonts w:ascii="Times New Roman" w:hAnsi="Times New Roman" w:eastAsia="Times New Roman" w:cs="Times New Roman"/><w:color w:val="rgba(0,0,0,1)"/><w:sz w:val="16"/><w:szCs w:val="16"/><w:b w:val="1"/><w:bCs w:val="1"/><w:shd w:val="clear" w:fill="rgba(0,0,0,0)"/></w:rPr><w:t xml:space="preserve">June 30,</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Cash flows from operating activities:</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Net income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7,831</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30,630</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Adjustments to reconcile net income to net cash provided by operating activities:</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Depreciation</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2,875</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2,073</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Amortization of intangible assets</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2,442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2,486</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Amortization of operating lease right-of-use assets</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3,649</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2,562</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Non-cash interest expense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217</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143</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Deferred interest expense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291</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1,036</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Provision recorded for doubtful accounts</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122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1,496</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Loss on disposal of property and equipment</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196</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239</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Adjustment for excess and obsolete inventories</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5,228</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4,678</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Stock-based compensation</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2,995</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1,740</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Change in fair value of Earnout liability</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3,058</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Changes in operating assets and liabilities:</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end"/><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end"/><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Accounts receivable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6,485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21,460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Inventory</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3,441</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4,984</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Prepaid expenses and other current assets</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1,839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1,649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Operating leases</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3,472</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2,774</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Accounts payable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2,671</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716</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Accrued expenses and other current liabilities</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1,697</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2,646</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Other liabilities</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23</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340</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Net cash provided by operating activities</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11,606</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16,180</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Cash flows from investing activities:</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Purchases of property and equipment</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12,840</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9,290</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Net cash used in investing activities</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12,840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9,290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Cash flows from financing activities:</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end"/><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end"/><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Payments of term loan</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938</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Payments of withholding taxes in connection with RSUs vesting</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646</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737</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Proceeds from the exercise of stock options</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2,042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1,205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Principal repayments of finance lease obligations</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200</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1,374</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Payment of deferred acquisition consideration</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608</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483</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Net cash used in financing activities</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350</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1,389</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Change in cash, cash equivalents and restricted cash</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r><w:rPr><w:rFonts w:ascii="Times New Roman" w:hAnsi="Times New Roman" w:eastAsia="Times New Roman" w:cs="Times New Roman"/><w:color w:val="rgba(0,0,0,1)"/><w:sz w:val="16"/><w:szCs w:val="16"/><w:b w:val="0"/><w:bCs w:val="0"/><w:shd w:val="clear" w:fill="rgba(0,0,0,0)"/></w:rPr><w:t xml:space="preserve">1,584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5,501</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Cash, cash equivalents, and restricted cash, beginning of period</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114,528</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84,806</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Cash, cash equivalents, and restricted cash, end of period</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112,944</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center"/><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90,307</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Supplemental disclosure of cash flow information:</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end"/><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end"/><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Cash paid for interest</w:t></w:r></w:p></w:tc><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top"/><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1,041</w:t></w:r></w:p></w:tc><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top"/><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3,836</w:t></w:r></w:p></w:tc><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Cash paid for income taxes</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top"/><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974</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top"/><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582</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Supplemental disclosure of non-cash investing and financing activities:</w:t></w:r></w:p></w:tc><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top"/><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top"/><w:shd w:val="clear" w:fill="rgba(207,240,252,1)"/><w:noWrap/></w:tcPr><w:p><w:pPr><w:jc w:val="end"/><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top"/><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top"/><w:shd w:val="clear" w:fill="rgba(207,240,252,1)"/><w:noWrap/></w:tcPr><w:p><w:pPr><w:jc w:val="end"/><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Purchases of property and equipment included in accounts payable and accrued expenses</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top"/><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6,546</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top"/><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4,349</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Right-of-use assets obtained through operating lease obligations</w:t></w:r></w:p></w:tc><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top"/><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364</w:t></w:r></w:p></w:tc><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top"/><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29,092</w:t></w:r></w:p></w:tc><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Shares issued for deferred acquisition consideration</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top"/><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828</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top"/><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bl><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                             The accompanying notes are an integral part of these unaudited consolidated financial statements.</w:t></w:r><w:r><w:rPr><w:rFonts w:ascii="Times New Roman" w:hAnsi="Times New Roman" w:eastAsia="Times New Roman" w:cs="Times New Roman"/><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color w:val="rgba(0,0,0,1)"/><w:sz w:val="2"/><w:szCs w:val="2"/><w:b w:val="0"/><w:bCs w:val="0"/></w:rPr><w:t xml:space="preserve"> </w:t></w:r><w:r><w:rPr><w:rFonts w:ascii="Times New Roman" w:hAnsi="Times New Roman" w:eastAsia="Times New Roman" w:cs="Times New Roman"/><w:sz w:val="20"/><w:szCs w:val="20"/></w:rPr><w:t xml:space="preserve"> </w:t></w:r></w:p><w:p><w:pPr><w:jc w:val="center"/><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7</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0" w:after="0" w:line="276" w:lineRule="auto"/></w:pPr><w:r><w:rPr><w:rFonts w:ascii="Times New Roman" w:hAnsi="Times New Roman" w:eastAsia="Times New Roman" w:cs="Times New Roman"/><w:color w:val="rgba(0,0,0,1)"/><w:sz w:val="20"/><w:szCs w:val="20"/><w:b w:val="1"/><w:bCs w:val="1"/><w:shd w:val="clear" w:fill="rgba(0,0,0,0)"/></w:rPr><w:t xml:space="preserve">ORGANOGENESIS HOLDINGS INC.</w:t></w:r></w:p><w:p><w:pPr><w:jc w:val="center"/><w:ind w:left="0" w:right="0" w:firstLine="0" w:hanging="0"/><w:spacing w:before="240" w:after="0" w:line="276" w:lineRule="auto"/></w:pPr><w:r><w:rPr><w:rFonts w:ascii="Times New Roman" w:hAnsi="Times New Roman" w:eastAsia="Times New Roman" w:cs="Times New Roman"/><w:color w:val="rgba(0,0,0,1)"/><w:sz w:val="20"/><w:szCs w:val="20"/><w:b w:val="1"/><w:bCs w:val="1"/><w:shd w:val="clear" w:fill="rgba(0,0,0,0)"/></w:rPr><w:t xml:space="preserve">NOTES TO UNAUDITED CONSOLID</w:t></w:r><w:r><w:rPr><w:rFonts w:ascii="Times New Roman" w:hAnsi="Times New Roman" w:eastAsia="Times New Roman" w:cs="Times New Roman"/><w:color w:val="rgba(0,0,0,1)"/><w:sz w:val="20"/><w:szCs w:val="20"/><w:b w:val="1"/><w:bCs w:val="1"/><w:shd w:val="clear" w:fill="rgba(0,0,0,0)"/></w:rPr><w:t xml:space="preserve">ATED FINANCIAL STATEMENTS</w:t></w:r><w:r><w:rPr><w:rFonts w:ascii="Times New Roman" w:hAnsi="Times New Roman" w:eastAsia="Times New Roman" w:cs="Times New Roman"/><w:color w:val="rgba(0,0,0,1)"/><w:sz w:val="20"/><w:szCs w:val="20"/><w:b w:val="1"/><w:bCs w:val="1"/></w:rPr><w:t xml:space="preserve"> </w:t></w:r></w:p><w:p><w:pPr><w:jc w:val="center"/><w:ind w:left="0" w:right="0" w:firstLine="0" w:hanging="0"/><w:spacing w:before="0" w:after="0" w:line="276" w:lineRule="auto"/></w:pPr><w:r><w:rPr><w:rFonts w:ascii="Times New Roman" w:hAnsi="Times New Roman" w:eastAsia="Times New Roman" w:cs="Times New Roman"/><w:color w:val="rgba(0,0,0,1)"/><w:sz w:val="20"/><w:szCs w:val="20"/><w:b w:val="1"/><w:bCs w:val="1"/><w:shd w:val="clear" w:fill="rgba(0,0,0,0)"/></w:rPr><w:t xml:space="preserve">(amounts in thousands, except share and per share data)</w:t></w:r></w:p><w:p><w:pPr><w:jc w:val="start"/><w:ind w:left="0" w:right="0" w:firstLine="0" w:hanging="0"/><w:spacing w:before="240" w:after="0" w:line="276" w:lineRule="auto"/></w:pPr><w:r><w:rPr><w:rFonts w:ascii="Times New Roman" w:hAnsi="Times New Roman" w:eastAsia="Times New Roman" w:cs="Times New Roman"/><w:color w:val="rgba(0,0,0,1)"/><w:sz w:val="20"/><w:szCs w:val="20"/><w:b w:val="1"/><w:bCs w:val="1"/><w:shd w:val="clear" w:fill="rgba(0,0,0,0)"/></w:rPr><w:t xml:space="preserve">1. Nature of Business and Basis of Presentation</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Organogenesis Holdings Inc. (“ORGO” or the “Company”) is a leading regenerative medicine company focused on the development, manufacture, and commercialization of solutions for the Advanced Wound Care and Surgical & Sports Medicine markets. Several of the existing and pipeline products in the Company’s portfolio have Premarket Application (“PMA”) approval, or Premarket Notification 510(k) clearance from the United States Food and Drug Administration (“FDA”). The Company’s customers include hospitals, wound care centers, government facilities, ambulatory service centers (“ASCs”) and physician offices. The Company has </w:t></w:r><w:r><w:rPr><w:rFonts w:ascii="Times New Roman" w:hAnsi="Times New Roman" w:eastAsia="Times New Roman" w:cs="Times New Roman"/><w:color w:val="rgba(0,0,0,1)"/><w:sz w:val="20"/><w:szCs w:val="20"/><w:b w:val="0"/><w:bCs w:val="0"/><w:shd w:val="clear" w:fill="rgba(0,0,0,0)"/></w:rPr><w:t xml:space="preserve">one</w:t></w:r><w:r><w:rPr><w:rFonts w:ascii="Times New Roman" w:hAnsi="Times New Roman" w:eastAsia="Times New Roman" w:cs="Times New Roman"/><w:color w:val="rgba(0,0,0,1)"/><w:sz w:val="20"/><w:szCs w:val="20"/><w:b w:val="0"/><w:bCs w:val="0"/><w:shd w:val="clear" w:fill="rgba(0,0,0,0)"/></w:rPr><w:t xml:space="preserve"> operating and reportable segment.</w:t></w:r><w:r><w:rPr><w:rFonts w:ascii="Times New Roman" w:hAnsi="Times New Roman" w:eastAsia="Times New Roman" w:cs="Times New Roman"/><w:color w:val="rgba(0,0,0,1)"/><w:sz w:val="20"/><w:szCs w:val="20"/><w:b w:val="0"/><w:bCs w:val="0"/></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i w:val="1"/><w:iCs w:val="1"/><w:shd w:val="clear" w:fill="rgba(0,0,0,0)"/></w:rPr><w:t xml:space="preserve">COVID-19 pandemic</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The coronavirus (COVID-19) pandemic around the world, and particularly in the United States, continues to present risks to the Company. While the COVID-19 pandemic has not materially adversely affected the Company’s financial results and business operations through the second quarter ended June 30, 2022, the Company is unable to predict the impact that COVID-19 will have on its financial position and operating results because of the numerous uncertainties created by the unprecedented nature of the pandemic.</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The Company is closely monitoring the evolving impact of the pandemic on all aspects of its business. The Company has implemented a number of measures designed to protect the health and safety of its employees, support its customers and promote business continuity.</w:t></w:r><w:r><w:rPr><w:rFonts w:ascii="Times New Roman" w:hAnsi="Times New Roman" w:eastAsia="Times New Roman" w:cs="Times New Roman"/><w:color w:val="rgba(0,0,0,1)"/><w:sz w:val="20"/><w:szCs w:val="20"/><w:b w:val="0"/><w:bCs w:val="0"/></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shd w:val="clear" w:fill="rgba(0,0,0,0)"/></w:rPr><w:t xml:space="preserve">2. Summary of Significant Accounting Policies</w:t></w:r><w:r><w:rPr><w:rFonts w:ascii="Times New Roman" w:hAnsi="Times New Roman" w:eastAsia="Times New Roman" w:cs="Times New Roman"/><w:color w:val="rgba(0,0,0,1)"/><w:sz w:val="20"/><w:szCs w:val="20"/><w:b w:val="1"/><w:b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The Company’s significant accounting policies are described in Note “2. Significant Accounting Policies” to the Consolidated Financial Statements included in the Company’s Annual Report on Form 10-K for the fiscal year ended December 31, 2021, as amended (the “Annual Report”). There have been no material changes to the significant accounting policies previously disclosed in the Annual Report.</w:t></w:r><w:r><w:rPr><w:rFonts w:ascii="Times New Roman" w:hAnsi="Times New Roman" w:eastAsia="Times New Roman" w:cs="Times New Roman"/><w:color w:val="rgba(0,0,0,1)"/><w:sz w:val="20"/><w:szCs w:val="20"/><w:b w:val="0"/><w:bCs w:val="0"/></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i w:val="1"/><w:iCs w:val="1"/><w:shd w:val="clear" w:fill="rgba(0,0,0,0)"/></w:rPr><w:t xml:space="preserve">Unaudited Interim Financial Information</w:t></w:r><w:r><w:rPr><w:rFonts w:ascii="Times New Roman" w:hAnsi="Times New Roman" w:eastAsia="Times New Roman" w:cs="Times New Roman"/><w:color w:val="rgba(0,0,0,1)"/><w:sz w:val="20"/><w:szCs w:val="20"/><w:b w:val="1"/><w:bCs w:val="1"/><w:i w:val="1"/><w:i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The accompanying unaudited consolidated financial statements have been prepared by management in accordance with GAAP and the rules and regulations of the SEC regarding interim financial reporting. Accordingly, they do not include all the information and footnotes required by generally accepted accounting principles for complete financial statements. While we believe that the disclosures presented are adequate in order to make the information not misleading, these unaudited quarterly financial statements should be read in conjunction with the financial statements and notes thereto included in the Annual Report.</w:t></w:r><w:r><w:rPr><w:rFonts w:ascii="Times New Roman" w:hAnsi="Times New Roman" w:eastAsia="Times New Roman" w:cs="Times New Roman"/><w:color w:val="rgba(0,0,0,1)"/><w:sz w:val="20"/><w:szCs w:val="20"/><w:b w:val="0"/><w:bCs w:val="0"/></w:rPr><w:t xml:space="preserve">       </w:t></w:r><w:r><w:rPr><w:rFonts w:ascii="Times New Roman" w:hAnsi="Times New Roman" w:eastAsia="Times New Roman" w:cs="Times New Roman"/><w:color w:val="rgba(0,0,0,1)"/><w:sz w:val="20"/><w:szCs w:val="20"/><w:b w:val="1"/><w:bCs w:val="1"/><w:i w:val="1"/><w:i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The unaudited consolidated financial statements include the accounts and results of operations of Organogenesis Holdings Inc. and its wholly-owned subsidiaries of Organogenesis Inc., including Organogenesis GmbH (a Switzerland corporation) and Prime Merger Sub, LLC. All intercompany balances and transactions have been eliminated in consolidation. The Company considers events or transactions that occur after the balance sheet date but before the financial statements are issued to provide additional evidence relative to certain estimates or to identify matters that require additional disclosure. In the opinion of management, the unaudited consolidated financial statements reflect all adjustments of a normal recurring nature necessary for a fair presentation of the Company’s financial position, results of operations and cash flows at the dates and for the periods indicated. The results for the six months ended June 30, 2022 are not necessarily indicative of the results to be expected for the year ending December 31, 2022, any other interim periods, or any future years or periods.</w:t></w:r><w:r><w:rPr><w:rFonts w:ascii="Times New Roman" w:hAnsi="Times New Roman" w:eastAsia="Times New Roman" w:cs="Times New Roman"/><w:color w:val="rgba(0,0,0,1)"/><w:sz w:val="20"/><w:szCs w:val="20"/><w:b w:val="0"/><w:bCs w:val="0"/></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i w:val="1"/><w:iCs w:val="1"/><w:shd w:val="clear" w:fill="rgba(0,0,0,0)"/></w:rPr><w:t xml:space="preserve">Use of Estimates</w:t></w:r><w:r><w:rPr><w:rFonts w:ascii="Times New Roman" w:hAnsi="Times New Roman" w:eastAsia="Times New Roman" w:cs="Times New Roman"/><w:color w:val="rgba(0,0,0,1)"/><w:sz w:val="20"/><w:szCs w:val="20"/><w:b w:val="1"/><w:bCs w:val="1"/><w:i w:val="1"/><w:i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The preparation of financial statements in conformity with GAAP requires management to make estimates and assumptions that affect the reported amounts of assets and liabilities, disclosure of contingent assets and liabilities at the date of the financial statements and the reported results of operations during the reporting periods. In preparing the consolidated financial statements, the estimates and assumptions that management consider to be significant and that present the greatest amount of uncertainty include: revenue recognition; sales returns and credit losses; inventory reserve; recognition and measurement of current and deferred income tax assets and liabilities; the assessment of recoverability of long-lived and indefinite lived assets (including intangible assets); assessing impairment of goodwill; valuation of assets and liabilities that use unobservable inputs; and the valuation and recognition of stock-based compensation. Actual results and outcomes may differ significantly from those estimates and assumptions.</w:t></w:r><w:r><w:rPr><w:rFonts w:ascii="Times New Roman" w:hAnsi="Times New Roman" w:eastAsia="Times New Roman" w:cs="Times New Roman"/><w:color w:val="rgba(0,0,0,1)"/><w:sz w:val="20"/><w:szCs w:val="20"/><w:b w:val="0"/><w:bCs w:val="0"/></w:rPr><w:t xml:space="preserve"> </w:t></w:r></w:p><w:p><w:pPr><w:jc w:val="center"/><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8</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i w:val="1"/><w:iCs w:val="1"/><w:shd w:val="clear" w:fill="rgba(0,0,0,0)"/></w:rPr><w:t xml:space="preserve">Revision to Previously Issued Financial Statements</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In August 2022, the Company reached an agreement with a Group Purchasing Organization (“GPO”) to settle previously disputed GPO fees for $</w:t></w:r><w:r><w:rPr><w:rFonts w:ascii="Times New Roman" w:hAnsi="Times New Roman" w:eastAsia="Times New Roman" w:cs="Times New Roman"/><w:color w:val="rgba(0,0,0,1)"/><w:sz w:val="20"/><w:szCs w:val="20"/><w:b w:val="0"/><w:bCs w:val="0"/><w:shd w:val="clear" w:fill="rgba(0,0,0,0)"/></w:rPr><w:t xml:space="preserve">3,300</w:t></w:r><w:r><w:rPr><w:rFonts w:ascii="Times New Roman" w:hAnsi="Times New Roman" w:eastAsia="Times New Roman" w:cs="Times New Roman"/><w:color w:val="rgba(0,0,0,1)"/><w:sz w:val="20"/><w:szCs w:val="20"/><w:b w:val="0"/><w:bCs w:val="0"/><w:shd w:val="clear" w:fill="rgba(0,0,0,0)"/></w:rPr><w:t xml:space="preserve">. The Company identified that part of the settlement fee should have been accrued as of March 31, 2022 and December 31, 2021. This error resulted in an overstatement of revenue and understatement of accrued expenses and other current liabilities and accumulated deficit in the financial statements included in the Company’s quarterly reports on Form 10-Q and the Company’s annual reports on Form 10-K previously filed with the SEC. The Company assessed the materiality of this error on prior period financial statements in accordance with the SEC Staff Accounting Bulletin Number 99, Materiality, and ASC 250-10, Accounting Changes and Error Corrections. The Company determined that this error was not material to the financial statements of any prior annual or interim period. </w:t></w:r><w:r><w:rPr><w:rFonts w:ascii="Times New Roman" w:hAnsi="Times New Roman" w:eastAsia="Times New Roman" w:cs="Times New Roman"/><w:color w:val="rgba(0,0,0,1)"/><w:sz w:val="20"/><w:szCs w:val="20"/><w:b w:val="0"/><w:bCs w:val="0"/><w:shd w:val="clear" w:fill="rgba(0,0,0,0)"/></w:rPr><w:t xml:space="preserve">To correct the immaterial misstatement, the Company revised its previously issued financial statements as follows</w:t></w:r><w:r><w:rPr><w:rFonts w:ascii="Times New Roman" w:hAnsi="Times New Roman" w:eastAsia="Times New Roman" w:cs="Times New Roman"/><w:color w:val="rgba(0,0,0,1)"/><w:sz w:val="20"/><w:szCs w:val="20"/><w:b w:val="0"/><w:bCs w:val="0"/><w:shd w:val="clear" w:fill="rgba(0,0,0,0)"/></w:rPr><w:t xml:space="preserve">:</w:t></w:r></w:p><w:p><w:pPr><w:jc w:val="start"/><w:ind w:left="0" w:right="0" w:firstLine="0" w:hanging="0"/><w:spacing w:before="120" w:after="0" w:line="276" w:lineRule="auto"/></w:pPr><w:r><w:rPr><w:rFonts w:ascii="Times New Roman" w:hAnsi="Times New Roman" w:eastAsia="Times New Roman" w:cs="Times New Roman"/><w:sz w:val="20"/><w:szCs w:val="20"/></w:rPr><w:t xml:space="preserve"> </w:t></w:r></w:p><w:tbl><w:tblGrid><w:gridCol w:w="29600" w:type="dxa"/><w:gridCol w:w="3550" w:type="dxa"/><w:gridCol w:w="0" w:type="dxa"/><w:gridCol w:w="6850" w:type="dxa"/><w:gridCol w:w="0" w:type="dxa"/><w:gridCol w:w="45900" w:type="dxa"/><w:gridCol w:w="0" w:type="dxa"/><w:gridCol w:w="35600" w:type="dxa"/><w:gridCol w:w="0" w:type="dxa"/><w:gridCol w:w="45900" w:type="dxa"/><w:gridCol w:w="0" w:type="dxa"/><w:gridCol w:w="12950" w:type="dxa"/><w:gridCol w:w="0" w:type="dxa"/><w:gridCol w:w="8900" w:type="dxa"/><w:gridCol w:w="8900" w:type="dxa"/><w:gridCol w:w="0" w:type="dxa"/><w:gridCol w:w="6850" w:type="dxa"/><w:gridCol w:w="0" w:type="dxa"/><w:gridCol w:w="45900" w:type="dxa"/><w:gridCol w:w="0" w:type="dxa"/><w:gridCol w:w="8350000000000100" w:type="dxa"/><w:gridCol w:w="0" w:type="dxa"/><w:gridCol w:w="45900" w:type="dxa"/><w:gridCol w:w="0" w:type="dxa"/><w:gridCol w:w="12950" w:type="dxa"/><w:gridCol w:w="0" w:type="dxa"/></w:tblGrid><w:tblPr><w:tblW w:w="0" w:type="pct"/><w:tblLayout w:type="autofit"/></w:tblPr><w:tr><w:trPr/><w:tc><w:tcPr><w:tcW w:w="29600" w:type="pct"/><w:noWrap/></w:tcPr><w:p><w:pPr/></w:p></w:tc><w:tc><w:tcPr><w:tcW w:w="3550" w:type="pct"/><w:noWrap/></w:tcPr><w:p><w:pPr/></w:p></w:tc><w:tc><w:tcPr><w:tcW w:w="0" w:type="pct"/><w:noWrap/></w:tcPr><w:p><w:pPr/></w:p></w:tc><w:tc><w:tcPr><w:tcW w:w="6850" w:type="pct"/><w:noWrap/></w:tcPr><w:p><w:pPr/></w:p></w:tc><w:tc><w:tcPr><w:tcW w:w="0" w:type="pct"/><w:noWrap/></w:tcPr><w:p><w:pPr/></w:p></w:tc><w:tc><w:tcPr><w:tcW w:w="45900" w:type="pct"/><w:noWrap/></w:tcPr><w:p><w:pPr/></w:p></w:tc><w:tc><w:tcPr><w:tcW w:w="0" w:type="pct"/><w:noWrap/></w:tcPr><w:p><w:pPr/></w:p></w:tc><w:tc><w:tcPr><w:tcW w:w="35600" w:type="pct"/><w:noWrap/></w:tcPr><w:p><w:pPr/></w:p></w:tc><w:tc><w:tcPr><w:tcW w:w="0" w:type="pct"/><w:noWrap/></w:tcPr><w:p><w:pPr/></w:p></w:tc><w:tc><w:tcPr><w:tcW w:w="45900" w:type="pct"/><w:noWrap/></w:tcPr><w:p><w:pPr/></w:p></w:tc><w:tc><w:tcPr><w:tcW w:w="0" w:type="pct"/><w:noWrap/></w:tcPr><w:p><w:pPr/></w:p></w:tc><w:tc><w:tcPr><w:tcW w:w="12950" w:type="pct"/><w:noWrap/></w:tcPr><w:p><w:pPr/></w:p></w:tc><w:tc><w:tcPr><w:tcW w:w="0" w:type="pct"/><w:noWrap/></w:tcPr><w:p><w:pPr/></w:p></w:tc><w:tc><w:tcPr><w:tcW w:w="8900" w:type="pct"/><w:noWrap/></w:tcPr><w:p><w:pPr/></w:p></w:tc><w:tc><w:tcPr><w:tcW w:w="8900" w:type="pct"/><w:noWrap/></w:tcPr><w:p><w:pPr/></w:p></w:tc><w:tc><w:tcPr><w:tcW w:w="0" w:type="pct"/><w:noWrap/></w:tcPr><w:p><w:pPr/></w:p></w:tc><w:tc><w:tcPr><w:tcW w:w="6850" w:type="pct"/><w:noWrap/></w:tcPr><w:p><w:pPr/></w:p></w:tc><w:tc><w:tcPr><w:tcW w:w="0" w:type="pct"/><w:noWrap/></w:tcPr><w:p><w:pPr/></w:p></w:tc><w:tc><w:tcPr><w:tcW w:w="45900" w:type="pct"/><w:noWrap/></w:tcPr><w:p><w:pPr/></w:p></w:tc><w:tc><w:tcPr><w:tcW w:w="0" w:type="pct"/><w:noWrap/></w:tcPr><w:p><w:pPr/></w:p></w:tc><w:tc><w:tcPr><w:tcW w:w="8350000000000100" w:type="pct"/><w:noWrap/></w:tcPr><w:p><w:pPr/></w:p></w:tc><w:tc><w:tcPr><w:tcW w:w="0" w:type="pct"/><w:noWrap/></w:tcPr><w:p><w:pPr/></w:p></w:tc><w:tc><w:tcPr><w:tcW w:w="45900" w:type="pct"/><w:noWrap/></w:tcPr><w:p><w:pPr/></w:p></w:tc><w:tc><w:tcPr><w:tcW w:w="0" w:type="pct"/><w:noWrap/></w:tcPr><w:p><w:pPr/></w:p></w:tc><w:tc><w:tcPr><w:tcW w:w="12950" w:type="pct"/><w:noWrap/></w:tcPr><w:p><w:pPr/></w:p></w:tc><w:tc><w:tcPr><w:tcW w:w="0" w:type="pct"/><w:noWrap/></w:tcPr><w:p><w:pPr/></w:p></w:tc></w:tr><w:tr><w:trPr><w:trHeight w:val="16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10"/><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As of March 31, 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10"/><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As of December 31, 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CONSOLIDATED BALANCE SHEETS</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As Previously Reported</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Adjustments</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As Revised</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As Previously Reported</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Adjustments</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As Revised</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Accrued expenses and other current liabilities</w:t></w:r></w:p></w:tc><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32,419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1,700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34,119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36,589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700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37,289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Total current liabilities</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76,792</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1,700</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78,492</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82,005</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700</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82,705</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Total liabilities</w:t></w:r></w:p></w:tc><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193,044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1,700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194,744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201,224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700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201,924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Accumulated deficit</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r><w:rPr><w:rFonts w:ascii="Times New Roman" w:hAnsi="Times New Roman" w:eastAsia="Times New Roman" w:cs="Times New Roman"/><w:color w:val="rgba(0,0,0,1)"/><w:sz w:val="18"/><w:szCs w:val="18"/><w:b w:val="0"/><w:bCs w:val="0"/><w:shd w:val="clear" w:fill="rgba(0,0,0,0)"/></w:rPr><w:t xml:space="preserve">60,046</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r><w:rPr><w:rFonts w:ascii="Times New Roman" w:hAnsi="Times New Roman" w:eastAsia="Times New Roman" w:cs="Times New Roman"/><w:color w:val="rgba(0,0,0,1)"/><w:sz w:val="18"/><w:szCs w:val="18"/><w:b w:val="0"/><w:bCs w:val="0"/><w:shd w:val="clear" w:fill="rgba(0,0,0,0)"/></w:rPr><w:t xml:space="preserve">1,700</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r><w:rPr><w:rFonts w:ascii="Times New Roman" w:hAnsi="Times New Roman" w:eastAsia="Times New Roman" w:cs="Times New Roman"/><w:color w:val="rgba(0,0,0,1)"/><w:sz w:val="18"/><w:szCs w:val="18"/><w:b w:val="0"/><w:bCs w:val="0"/><w:shd w:val="clear" w:fill="rgba(0,0,0,0)"/></w:rPr><w:t xml:space="preserve">61,746</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r><w:rPr><w:rFonts w:ascii="Times New Roman" w:hAnsi="Times New Roman" w:eastAsia="Times New Roman" w:cs="Times New Roman"/><w:color w:val="rgba(0,0,0,1)"/><w:sz w:val="18"/><w:szCs w:val="18"/><w:b w:val="0"/><w:bCs w:val="0"/><w:shd w:val="clear" w:fill="rgba(0,0,0,0)"/></w:rPr><w:t xml:space="preserve">60,133</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r><w:rPr><w:rFonts w:ascii="Times New Roman" w:hAnsi="Times New Roman" w:eastAsia="Times New Roman" w:cs="Times New Roman"/><w:color w:val="rgba(0,0,0,1)"/><w:sz w:val="18"/><w:szCs w:val="18"/><w:b w:val="0"/><w:bCs w:val="0"/><w:shd w:val="clear" w:fill="rgba(0,0,0,0)"/></w:rPr><w:t xml:space="preserve">700</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r><w:rPr><w:rFonts w:ascii="Times New Roman" w:hAnsi="Times New Roman" w:eastAsia="Times New Roman" w:cs="Times New Roman"/><w:color w:val="rgba(0,0,0,1)"/><w:sz w:val="18"/><w:szCs w:val="18"/><w:b w:val="0"/><w:bCs w:val="0"/><w:shd w:val="clear" w:fill="rgba(0,0,0,0)"/></w:rPr><w:t xml:space="preserve">60,833</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r><w:tr><w:trPr><w:trHeight w:val="18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Total stockholders’ equity</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243,228</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r><w:rPr><w:rFonts w:ascii="Times New Roman" w:hAnsi="Times New Roman" w:eastAsia="Times New Roman" w:cs="Times New Roman"/><w:color w:val="rgba(0,0,0,1)"/><w:sz w:val="18"/><w:szCs w:val="18"/><w:b w:val="0"/><w:bCs w:val="0"/><w:shd w:val="clear" w:fill="rgba(0,0,0,0)"/></w:rPr><w:t xml:space="preserve">1,700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241,528</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242,035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r><w:rPr><w:rFonts w:ascii="Times New Roman" w:hAnsi="Times New Roman" w:eastAsia="Times New Roman" w:cs="Times New Roman"/><w:color w:val="rgba(0,0,0,1)"/><w:sz w:val="18"/><w:szCs w:val="18"/><w:b w:val="0"/><w:bCs w:val="0"/><w:shd w:val="clear" w:fill="rgba(0,0,0,0)"/></w:rPr><w:t xml:space="preserve">700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241,335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bl><w:p><w:pPr><w:jc w:val="start"/><w:ind w:left="0" w:right="0" w:firstLine="0" w:hanging="0"/><w:spacing w:before="120" w:after="0" w:line="276" w:lineRule="auto"/></w:pPr><w:r><w:rPr><w:rFonts w:ascii="Times New Roman" w:hAnsi="Times New Roman" w:eastAsia="Times New Roman" w:cs="Times New Roman"/><w:sz w:val="20"/><w:szCs w:val="20"/></w:rPr><w:t xml:space="preserve"> </w:t></w:r></w:p><w:p><w:pPr><w:jc w:val="start"/><w:ind w:left="0" w:right="0" w:firstLine="0" w:hanging="0"/><w:spacing w:before="120" w:after="0" w:line="276" w:lineRule="auto"/></w:pPr><w:r><w:rPr><w:rFonts w:ascii="Times New Roman" w:hAnsi="Times New Roman" w:eastAsia="Times New Roman" w:cs="Times New Roman"/><w:sz w:val="20"/><w:szCs w:val="20"/></w:rPr><w:t xml:space="preserve"> </w:t></w:r></w:p><w:tbl><w:tblGrid><w:gridCol w:w="7800" w:type="dxa"/><w:gridCol w:w="3550" w:type="dxa"/><w:gridCol w:w="0" w:type="dxa"/><w:gridCol w:w="41100000000000050" w:type="dxa"/><w:gridCol w:w="0" w:type="dxa"/><w:gridCol w:w="45900" w:type="dxa"/><w:gridCol w:w="0" w:type="dxa"/><w:gridCol w:w="24450" w:type="dxa"/><w:gridCol w:w="0" w:type="dxa"/><w:gridCol w:w="45900" w:type="dxa"/><w:gridCol w:w="0" w:type="dxa"/><w:gridCol w:w="850" w:type="dxa"/><w:gridCol w:w="0" w:type="dxa"/><w:gridCol w:w="8900" w:type="dxa"/><w:gridCol w:w="8900" w:type="dxa"/><w:gridCol w:w="0" w:type="dxa"/><w:gridCol w:w="33200000000000050" w:type="dxa"/><w:gridCol w:w="0" w:type="dxa"/><w:gridCol w:w="45900" w:type="dxa"/><w:gridCol w:w="0" w:type="dxa"/><w:gridCol w:w="47650" w:type="dxa"/><w:gridCol w:w="0" w:type="dxa"/><w:gridCol w:w="45900" w:type="dxa"/><w:gridCol w:w="0" w:type="dxa"/><w:gridCol w:w="9650" w:type="dxa"/><w:gridCol w:w="0" w:type="dxa"/><w:gridCol w:w="2400" w:type="dxa"/><w:gridCol w:w="45900" w:type="dxa"/></w:tblGrid><w:tblPr><w:tblW w:w="0" w:type="pct"/><w:tblLayout w:type="autofit"/></w:tblPr><w:tr><w:trPr/><w:tc><w:tcPr><w:tcW w:w="7800" w:type="pct"/><w:noWrap/></w:tcPr><w:p><w:pPr/></w:p></w:tc><w:tc><w:tcPr><w:tcW w:w="3550" w:type="pct"/><w:noWrap/></w:tcPr><w:p><w:pPr/></w:p></w:tc><w:tc><w:tcPr><w:tcW w:w="0" w:type="pct"/><w:noWrap/></w:tcPr><w:p><w:pPr/></w:p></w:tc><w:tc><w:tcPr><w:tcW w:w="41100000000000050" w:type="pct"/><w:noWrap/></w:tcPr><w:p><w:pPr/></w:p></w:tc><w:tc><w:tcPr><w:tcW w:w="0" w:type="pct"/><w:noWrap/></w:tcPr><w:p><w:pPr/></w:p></w:tc><w:tc><w:tcPr><w:tcW w:w="45900" w:type="pct"/><w:noWrap/></w:tcPr><w:p><w:pPr/></w:p></w:tc><w:tc><w:tcPr><w:tcW w:w="0" w:type="pct"/><w:noWrap/></w:tcPr><w:p><w:pPr/></w:p></w:tc><w:tc><w:tcPr><w:tcW w:w="24450" w:type="pct"/><w:noWrap/></w:tcPr><w:p><w:pPr/></w:p></w:tc><w:tc><w:tcPr><w:tcW w:w="0" w:type="pct"/><w:noWrap/></w:tcPr><w:p><w:pPr/></w:p></w:tc><w:tc><w:tcPr><w:tcW w:w="45900" w:type="pct"/><w:noWrap/></w:tcPr><w:p><w:pPr/></w:p></w:tc><w:tc><w:tcPr><w:tcW w:w="0" w:type="pct"/><w:noWrap/></w:tcPr><w:p><w:pPr/></w:p></w:tc><w:tc><w:tcPr><w:tcW w:w="850" w:type="pct"/><w:noWrap/></w:tcPr><w:p><w:pPr/></w:p></w:tc><w:tc><w:tcPr><w:tcW w:w="0" w:type="pct"/><w:noWrap/></w:tcPr><w:p><w:pPr/></w:p></w:tc><w:tc><w:tcPr><w:tcW w:w="8900" w:type="pct"/><w:noWrap/></w:tcPr><w:p><w:pPr/></w:p></w:tc><w:tc><w:tcPr><w:tcW w:w="8900" w:type="pct"/><w:noWrap/></w:tcPr><w:p><w:pPr/></w:p></w:tc><w:tc><w:tcPr><w:tcW w:w="0" w:type="pct"/><w:noWrap/></w:tcPr><w:p><w:pPr/></w:p></w:tc><w:tc><w:tcPr><w:tcW w:w="33200000000000050" w:type="pct"/><w:noWrap/></w:tcPr><w:p><w:pPr/></w:p></w:tc><w:tc><w:tcPr><w:tcW w:w="0" w:type="pct"/><w:noWrap/></w:tcPr><w:p><w:pPr/></w:p></w:tc><w:tc><w:tcPr><w:tcW w:w="45900" w:type="pct"/><w:noWrap/></w:tcPr><w:p><w:pPr/></w:p></w:tc><w:tc><w:tcPr><w:tcW w:w="0" w:type="pct"/><w:noWrap/></w:tcPr><w:p><w:pPr/></w:p></w:tc><w:tc><w:tcPr><w:tcW w:w="47650" w:type="pct"/><w:noWrap/></w:tcPr><w:p><w:pPr/></w:p></w:tc><w:tc><w:tcPr><w:tcW w:w="0" w:type="pct"/><w:noWrap/></w:tcPr><w:p><w:pPr/></w:p></w:tc><w:tc><w:tcPr><w:tcW w:w="45900" w:type="pct"/><w:noWrap/></w:tcPr><w:p><w:pPr/></w:p></w:tc><w:tc><w:tcPr><w:tcW w:w="0" w:type="pct"/><w:noWrap/></w:tcPr><w:p><w:pPr/></w:p></w:tc><w:tc><w:tcPr><w:tcW w:w="9650" w:type="pct"/><w:noWrap/></w:tcPr><w:p><w:pPr/></w:p></w:tc><w:tc><w:tcPr><w:tcW w:w="0" w:type="pct"/><w:noWrap/></w:tcPr><w:p><w:pPr/></w:p></w:tc><w:tc><w:tcPr><w:tcW w:w="2400" w:type="pct"/><w:noWrap/></w:tcPr><w:p><w:pPr/></w:p></w:tc><w:tc><w:tcPr><w:tcW w:w="45900" w:type="pct"/><w:noWrap/></w:tcPr><w:p><w:pPr/></w:p></w:tc></w:tr><w:tr><w:trPr><w:trHeight w:val="16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10"/><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For the Three Months Ended March 31, 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10"/><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For the Year  Ended December 31, 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CONSOLIDATED STATEMENTS OF OPERATIONS</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As Previously Reported</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Adjustments</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As Revised</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As Previously Reported</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Adjustments</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As Revised</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Net revenue</w:t></w:r></w:p></w:tc><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98,117</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r><w:rPr><w:rFonts w:ascii="Times New Roman" w:hAnsi="Times New Roman" w:eastAsia="Times New Roman" w:cs="Times New Roman"/><w:color w:val="rgba(0,0,0,1)"/><w:sz w:val="18"/><w:szCs w:val="18"/><w:b w:val="0"/><w:bCs w:val="0"/><w:shd w:val="clear" w:fill="rgba(0,0,0,0)"/></w:rPr><w:t xml:space="preserve">1,000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97,117</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468,059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r><w:rPr><w:rFonts w:ascii="Times New Roman" w:hAnsi="Times New Roman" w:eastAsia="Times New Roman" w:cs="Times New Roman"/><w:color w:val="rgba(0,0,0,1)"/><w:sz w:val="18"/><w:szCs w:val="18"/><w:b w:val="0"/><w:bCs w:val="0"/><w:shd w:val="clear" w:fill="rgba(0,0,0,0)"/></w:rPr><w:t xml:space="preserve">700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467,359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r><w:tr><w:trPr><w:trHeight w:val="18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Gross profit</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73,037</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r><w:rPr><w:rFonts w:ascii="Times New Roman" w:hAnsi="Times New Roman" w:eastAsia="Times New Roman" w:cs="Times New Roman"/><w:color w:val="rgba(0,0,0,1)"/><w:sz w:val="18"/><w:szCs w:val="18"/><w:b w:val="0"/><w:bCs w:val="0"/><w:shd w:val="clear" w:fill="rgba(0,0,0,0)"/></w:rPr><w:t xml:space="preserve">1,000</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72,037</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353,860</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r><w:rPr><w:rFonts w:ascii="Times New Roman" w:hAnsi="Times New Roman" w:eastAsia="Times New Roman" w:cs="Times New Roman"/><w:color w:val="rgba(0,0,0,1)"/><w:sz w:val="18"/><w:szCs w:val="18"/><w:b w:val="0"/><w:bCs w:val="0"/><w:shd w:val="clear" w:fill="rgba(0,0,0,0)"/></w:rPr><w:t xml:space="preserve">700</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353,160</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Income from operations</w:t></w:r></w:p></w:tc><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872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r><w:rPr><w:rFonts w:ascii="Times New Roman" w:hAnsi="Times New Roman" w:eastAsia="Times New Roman" w:cs="Times New Roman"/><w:color w:val="rgba(0,0,0,1)"/><w:sz w:val="18"/><w:szCs w:val="18"/><w:b w:val="0"/><w:bCs w:val="0"/><w:shd w:val="clear" w:fill="rgba(0,0,0,0)"/></w:rPr><w:t xml:space="preserve">1,000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r><w:rPr><w:rFonts w:ascii="Times New Roman" w:hAnsi="Times New Roman" w:eastAsia="Times New Roman" w:cs="Times New Roman"/><w:color w:val="rgba(0,0,0,1)"/><w:sz w:val="18"/><w:szCs w:val="18"/><w:b w:val="0"/><w:bCs w:val="0"/><w:shd w:val="clear" w:fill="rgba(0,0,0,0)"/></w:rPr><w:t xml:space="preserve">128</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72,918</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r><w:rPr><w:rFonts w:ascii="Times New Roman" w:hAnsi="Times New Roman" w:eastAsia="Times New Roman" w:cs="Times New Roman"/><w:color w:val="rgba(0,0,0,1)"/><w:sz w:val="18"/><w:szCs w:val="18"/><w:b w:val="0"/><w:bCs w:val="0"/><w:shd w:val="clear" w:fill="rgba(0,0,0,0)"/></w:rPr><w:t xml:space="preserve">700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72,218</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r><w:tr><w:trPr><w:trHeight w:val="18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Net income before income taxes</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132</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r><w:rPr><w:rFonts w:ascii="Times New Roman" w:hAnsi="Times New Roman" w:eastAsia="Times New Roman" w:cs="Times New Roman"/><w:color w:val="rgba(0,0,0,1)"/><w:sz w:val="18"/><w:szCs w:val="18"/><w:b w:val="0"/><w:bCs w:val="0"/><w:shd w:val="clear" w:fill="rgba(0,0,0,0)"/></w:rPr><w:t xml:space="preserve">1,000</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r><w:rPr><w:rFonts w:ascii="Times New Roman" w:hAnsi="Times New Roman" w:eastAsia="Times New Roman" w:cs="Times New Roman"/><w:color w:val="rgba(0,0,0,1)"/><w:sz w:val="18"/><w:szCs w:val="18"/><w:b w:val="0"/><w:bCs w:val="0"/><w:shd w:val="clear" w:fill="rgba(0,0,0,0)"/></w:rPr><w:t xml:space="preserve">868</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63,786</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r><w:rPr><w:rFonts w:ascii="Times New Roman" w:hAnsi="Times New Roman" w:eastAsia="Times New Roman" w:cs="Times New Roman"/><w:color w:val="rgba(0,0,0,1)"/><w:sz w:val="18"/><w:szCs w:val="18"/><w:b w:val="0"/><w:bCs w:val="0"/><w:shd w:val="clear" w:fill="rgba(0,0,0,0)"/></w:rPr><w:t xml:space="preserve">700</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63,086</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r><w:tr><w:trPr><w:trHeight w:val="18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Net income</w:t></w:r></w:p></w:tc><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87</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r><w:rPr><w:rFonts w:ascii="Times New Roman" w:hAnsi="Times New Roman" w:eastAsia="Times New Roman" w:cs="Times New Roman"/><w:color w:val="rgba(0,0,0,1)"/><w:sz w:val="18"/><w:szCs w:val="18"/><w:b w:val="0"/><w:bCs w:val="0"/><w:shd w:val="clear" w:fill="rgba(0,0,0,0)"/></w:rPr><w:t xml:space="preserve">1,000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r><w:rPr><w:rFonts w:ascii="Times New Roman" w:hAnsi="Times New Roman" w:eastAsia="Times New Roman" w:cs="Times New Roman"/><w:color w:val="rgba(0,0,0,1)"/><w:sz w:val="18"/><w:szCs w:val="18"/><w:b w:val="0"/><w:bCs w:val="0"/><w:shd w:val="clear" w:fill="rgba(0,0,0,0)"/></w:rPr><w:t xml:space="preserve">913</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94,902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r><w:rPr><w:rFonts w:ascii="Times New Roman" w:hAnsi="Times New Roman" w:eastAsia="Times New Roman" w:cs="Times New Roman"/><w:color w:val="rgba(0,0,0,1)"/><w:sz w:val="18"/><w:szCs w:val="18"/><w:b w:val="0"/><w:bCs w:val="0"/><w:shd w:val="clear" w:fill="rgba(0,0,0,0)"/></w:rPr><w:t xml:space="preserve">700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94,202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r></w:tbl><w:p><w:pPr><w:jc w:val="start"/><w:ind w:left="0" w:right="0" w:firstLine="0" w:hanging="0"/><w:spacing w:before="360" w:after="0" w:line="276" w:lineRule="auto"/></w:pPr><w:r><w:rPr><w:rFonts w:ascii="Times New Roman" w:hAnsi="Times New Roman" w:eastAsia="Times New Roman" w:cs="Times New Roman"/><w:sz w:val="20"/><w:szCs w:val="20"/></w:rPr><w:t xml:space="preserve"> </w:t></w:r></w:p><w:tbl><w:tblGrid><w:gridCol w:w="33350" w:type="dxa"/><w:gridCol w:w="47800" w:type="dxa"/><w:gridCol w:w="0" w:type="dxa"/><w:gridCol w:w="27400" w:type="dxa"/><w:gridCol w:w="0" w:type="dxa"/><w:gridCol w:w="47800" w:type="dxa"/><w:gridCol w:w="0" w:type="dxa"/><w:gridCol w:w="41850000000000100" w:type="dxa"/><w:gridCol w:w="0" w:type="dxa"/><w:gridCol w:w="47800" w:type="dxa"/><w:gridCol w:w="0" w:type="dxa"/><w:gridCol w:w="24150" w:type="dxa"/><w:gridCol w:w="0" w:type="dxa"/><w:gridCol w:w="12600" w:type="dxa"/><w:gridCol w:w="12600" w:type="dxa"/><w:gridCol w:w="0" w:type="dxa"/><w:gridCol w:w="11150" w:type="dxa"/><w:gridCol w:w="0" w:type="dxa"/><w:gridCol w:w="47800" w:type="dxa"/><w:gridCol w:w="0" w:type="dxa"/><w:gridCol w:w="16400000000000050" w:type="dxa"/><w:gridCol w:w="0" w:type="dxa"/><w:gridCol w:w="47800" w:type="dxa"/><w:gridCol w:w="0" w:type="dxa"/><w:gridCol w:w="31600" w:type="dxa"/><w:gridCol w:w="0" w:type="dxa"/></w:tblGrid><w:tblPr><w:tblW w:w="0" w:type="pct"/><w:tblLayout w:type="autofit"/></w:tblPr><w:tr><w:trPr/><w:tc><w:tcPr><w:tcW w:w="33350" w:type="pct"/><w:noWrap/></w:tcPr><w:p><w:pPr/></w:p></w:tc><w:tc><w:tcPr><w:tcW w:w="47800" w:type="pct"/><w:noWrap/></w:tcPr><w:p><w:pPr/></w:p></w:tc><w:tc><w:tcPr><w:tcW w:w="0" w:type="pct"/><w:noWrap/></w:tcPr><w:p><w:pPr/></w:p></w:tc><w:tc><w:tcPr><w:tcW w:w="27400" w:type="pct"/><w:noWrap/></w:tcPr><w:p><w:pPr/></w:p></w:tc><w:tc><w:tcPr><w:tcW w:w="0" w:type="pct"/><w:noWrap/></w:tcPr><w:p><w:pPr/></w:p></w:tc><w:tc><w:tcPr><w:tcW w:w="47800" w:type="pct"/><w:noWrap/></w:tcPr><w:p><w:pPr/></w:p></w:tc><w:tc><w:tcPr><w:tcW w:w="0" w:type="pct"/><w:noWrap/></w:tcPr><w:p><w:pPr/></w:p></w:tc><w:tc><w:tcPr><w:tcW w:w="41850000000000100" w:type="pct"/><w:noWrap/></w:tcPr><w:p><w:pPr/></w:p></w:tc><w:tc><w:tcPr><w:tcW w:w="0" w:type="pct"/><w:noWrap/></w:tcPr><w:p><w:pPr/></w:p></w:tc><w:tc><w:tcPr><w:tcW w:w="47800" w:type="pct"/><w:noWrap/></w:tcPr><w:p><w:pPr/></w:p></w:tc><w:tc><w:tcPr><w:tcW w:w="0" w:type="pct"/><w:noWrap/></w:tcPr><w:p><w:pPr/></w:p></w:tc><w:tc><w:tcPr><w:tcW w:w="24150" w:type="pct"/><w:noWrap/></w:tcPr><w:p><w:pPr/></w:p></w:tc><w:tc><w:tcPr><w:tcW w:w="0" w:type="pct"/><w:noWrap/></w:tcPr><w:p><w:pPr/></w:p></w:tc><w:tc><w:tcPr><w:tcW w:w="12600" w:type="pct"/><w:noWrap/></w:tcPr><w:p><w:pPr/></w:p></w:tc><w:tc><w:tcPr><w:tcW w:w="12600" w:type="pct"/><w:noWrap/></w:tcPr><w:p><w:pPr/></w:p></w:tc><w:tc><w:tcPr><w:tcW w:w="0" w:type="pct"/><w:noWrap/></w:tcPr><w:p><w:pPr/></w:p></w:tc><w:tc><w:tcPr><w:tcW w:w="11150" w:type="pct"/><w:noWrap/></w:tcPr><w:p><w:pPr/></w:p></w:tc><w:tc><w:tcPr><w:tcW w:w="0" w:type="pct"/><w:noWrap/></w:tcPr><w:p><w:pPr/></w:p></w:tc><w:tc><w:tcPr><w:tcW w:w="47800" w:type="pct"/><w:noWrap/></w:tcPr><w:p><w:pPr/></w:p></w:tc><w:tc><w:tcPr><w:tcW w:w="0" w:type="pct"/><w:noWrap/></w:tcPr><w:p><w:pPr/></w:p></w:tc><w:tc><w:tcPr><w:tcW w:w="16400000000000050" w:type="pct"/><w:noWrap/></w:tcPr><w:p><w:pPr/></w:p></w:tc><w:tc><w:tcPr><w:tcW w:w="0" w:type="pct"/><w:noWrap/></w:tcPr><w:p><w:pPr/></w:p></w:tc><w:tc><w:tcPr><w:tcW w:w="47800" w:type="pct"/><w:noWrap/></w:tcPr><w:p><w:pPr/></w:p></w:tc><w:tc><w:tcPr><w:tcW w:w="0" w:type="pct"/><w:noWrap/></w:tcPr><w:p><w:pPr/></w:p></w:tc><w:tc><w:tcPr><w:tcW w:w="31600" w:type="pct"/><w:noWrap/></w:tcPr><w:p><w:pPr/></w:p></w:tc><w:tc><w:tcPr><w:tcW w:w="0" w:type="pct"/><w:noWrap/></w:tcPr><w:p><w:pPr/></w:p></w:tc></w:tr><w:tr><w:trPr><w:trHeight w:val="16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10"/><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Three Months Ended March 31, 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10"/><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For the Year  Ended December 31, 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CONSOLIDATED STATEMENTS OF CASH FLOWS</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As Previously Reported</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Adjustments</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As Revised</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As Previously Reported</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Adjustments</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As Revised</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80" w:hRule="exact"/></w:trPr><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Net income / (loss)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87</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r><w:rPr><w:rFonts w:ascii="Times New Roman" w:hAnsi="Times New Roman" w:eastAsia="Times New Roman" w:cs="Times New Roman"/><w:color w:val="rgba(0,0,0,1)"/><w:sz w:val="18"/><w:szCs w:val="18"/><w:b w:val="0"/><w:bCs w:val="0"/><w:shd w:val="clear" w:fill="rgba(0,0,0,0)"/></w:rPr><w:t xml:space="preserve">1,000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r><w:rPr><w:rFonts w:ascii="Times New Roman" w:hAnsi="Times New Roman" w:eastAsia="Times New Roman" w:cs="Times New Roman"/><w:color w:val="rgba(0,0,0,1)"/><w:sz w:val="18"/><w:szCs w:val="18"/><w:b w:val="0"/><w:bCs w:val="0"/><w:shd w:val="clear" w:fill="rgba(0,0,0,0)"/></w:rPr><w:t xml:space="preserve">913</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94,902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r><w:rPr><w:rFonts w:ascii="Times New Roman" w:hAnsi="Times New Roman" w:eastAsia="Times New Roman" w:cs="Times New Roman"/><w:color w:val="rgba(0,0,0,1)"/><w:sz w:val="18"/><w:szCs w:val="18"/><w:b w:val="0"/><w:bCs w:val="0"/><w:shd w:val="clear" w:fill="rgba(0,0,0,0)"/></w:rPr><w:t xml:space="preserve">700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94,202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Changes in operating assets and liabilities:</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gridSpan w:val="2"/><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gridSpan w:val="2"/><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gridSpan w:val="2"/><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gridSpan w:val="2"/><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gridSpan w:val="2"/><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gridSpan w:val="2"/><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r><w:tr><w:trPr><w:trHeight w:val="180" w:hRule="exact"/></w:trPr><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Accrued expenses and other current liabilities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r><w:rPr><w:rFonts w:ascii="Times New Roman" w:hAnsi="Times New Roman" w:eastAsia="Times New Roman" w:cs="Times New Roman"/><w:color w:val="rgba(0,0,0,1)"/><w:sz w:val="18"/><w:szCs w:val="18"/><w:b w:val="0"/><w:bCs w:val="0"/><w:shd w:val="clear" w:fill="rgba(0,0,0,0)"/></w:rPr><w:t xml:space="preserve">4,828</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1,000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r><w:rPr><w:rFonts w:ascii="Times New Roman" w:hAnsi="Times New Roman" w:eastAsia="Times New Roman" w:cs="Times New Roman"/><w:color w:val="rgba(0,0,0,1)"/><w:sz w:val="18"/><w:szCs w:val="18"/><w:b w:val="0"/><w:bCs w:val="0"/><w:shd w:val="clear" w:fill="rgba(0,0,0,0)"/></w:rPr><w:t xml:space="preserve">3,828</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8,654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700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9,354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bl><w:p><w:pPr><w:jc w:val="start"/><w:ind w:left="0" w:right="0" w:firstLine="0" w:hanging="0"/><w:spacing w:before="360" w:after="0" w:line="276" w:lineRule="auto"/></w:pPr><w:r><w:rPr><w:rFonts w:ascii="Times New Roman" w:hAnsi="Times New Roman" w:eastAsia="Times New Roman" w:cs="Times New Roman"/><w:sz w:val="20"/><w:szCs w:val="20"/></w:rPr><w:t xml:space="preserve"> </w:t></w:r></w:p><w:tbl><w:tblGrid><w:gridCol w:w="3100" w:type="dxa"/><w:gridCol w:w="47800" w:type="dxa"/><w:gridCol w:w="0" w:type="dxa"/><w:gridCol w:w="18100" w:type="dxa"/><w:gridCol w:w="0" w:type="dxa"/><w:gridCol w:w="47800" w:type="dxa"/><w:gridCol w:w="0" w:type="dxa"/><w:gridCol w:w="43650000000000050" w:type="dxa"/><w:gridCol w:w="0" w:type="dxa"/><w:gridCol w:w="47800" w:type="dxa"/><w:gridCol w:w="0" w:type="dxa"/><w:gridCol w:w="32050" w:type="dxa"/><w:gridCol w:w="0" w:type="dxa"/><w:gridCol w:w="13100" w:type="dxa"/><w:gridCol w:w="13100" w:type="dxa"/><w:gridCol w:w="0" w:type="dxa"/><w:gridCol w:w="9750" w:type="dxa"/><w:gridCol w:w="0" w:type="dxa"/><w:gridCol w:w="47800" w:type="dxa"/><w:gridCol w:w="0" w:type="dxa"/><w:gridCol w:w="18200" w:type="dxa"/><w:gridCol w:w="0" w:type="dxa"/><w:gridCol w:w="47800" w:type="dxa"/><w:gridCol w:w="0" w:type="dxa"/><w:gridCol w:w="32050" w:type="dxa"/><w:gridCol w:w="0" w:type="dxa"/></w:tblGrid><w:tblPr><w:tblW w:w="0" w:type="pct"/><w:tblLayout w:type="autofit"/></w:tblPr><w:tr><w:trPr/><w:tc><w:tcPr><w:tcW w:w="3100" w:type="pct"/><w:noWrap/></w:tcPr><w:p><w:pPr/></w:p></w:tc><w:tc><w:tcPr><w:tcW w:w="47800" w:type="pct"/><w:noWrap/></w:tcPr><w:p><w:pPr/></w:p></w:tc><w:tc><w:tcPr><w:tcW w:w="0" w:type="pct"/><w:noWrap/></w:tcPr><w:p><w:pPr/></w:p></w:tc><w:tc><w:tcPr><w:tcW w:w="18100" w:type="pct"/><w:noWrap/></w:tcPr><w:p><w:pPr/></w:p></w:tc><w:tc><w:tcPr><w:tcW w:w="0" w:type="pct"/><w:noWrap/></w:tcPr><w:p><w:pPr/></w:p></w:tc><w:tc><w:tcPr><w:tcW w:w="47800" w:type="pct"/><w:noWrap/></w:tcPr><w:p><w:pPr/></w:p></w:tc><w:tc><w:tcPr><w:tcW w:w="0" w:type="pct"/><w:noWrap/></w:tcPr><w:p><w:pPr/></w:p></w:tc><w:tc><w:tcPr><w:tcW w:w="43650000000000050" w:type="pct"/><w:noWrap/></w:tcPr><w:p><w:pPr/></w:p></w:tc><w:tc><w:tcPr><w:tcW w:w="0" w:type="pct"/><w:noWrap/></w:tcPr><w:p><w:pPr/></w:p></w:tc><w:tc><w:tcPr><w:tcW w:w="47800" w:type="pct"/><w:noWrap/></w:tcPr><w:p><w:pPr/></w:p></w:tc><w:tc><w:tcPr><w:tcW w:w="0" w:type="pct"/><w:noWrap/></w:tcPr><w:p><w:pPr/></w:p></w:tc><w:tc><w:tcPr><w:tcW w:w="32050" w:type="pct"/><w:noWrap/></w:tcPr><w:p><w:pPr/></w:p></w:tc><w:tc><w:tcPr><w:tcW w:w="0" w:type="pct"/><w:noWrap/></w:tcPr><w:p><w:pPr/></w:p></w:tc><w:tc><w:tcPr><w:tcW w:w="13100" w:type="pct"/><w:noWrap/></w:tcPr><w:p><w:pPr/></w:p></w:tc><w:tc><w:tcPr><w:tcW w:w="13100" w:type="pct"/><w:noWrap/></w:tcPr><w:p><w:pPr/></w:p></w:tc><w:tc><w:tcPr><w:tcW w:w="0" w:type="pct"/><w:noWrap/></w:tcPr><w:p><w:pPr/></w:p></w:tc><w:tc><w:tcPr><w:tcW w:w="9750" w:type="pct"/><w:noWrap/></w:tcPr><w:p><w:pPr/></w:p></w:tc><w:tc><w:tcPr><w:tcW w:w="0" w:type="pct"/><w:noWrap/></w:tcPr><w:p><w:pPr/></w:p></w:tc><w:tc><w:tcPr><w:tcW w:w="47800" w:type="pct"/><w:noWrap/></w:tcPr><w:p><w:pPr/></w:p></w:tc><w:tc><w:tcPr><w:tcW w:w="0" w:type="pct"/><w:noWrap/></w:tcPr><w:p><w:pPr/></w:p></w:tc><w:tc><w:tcPr><w:tcW w:w="18200" w:type="pct"/><w:noWrap/></w:tcPr><w:p><w:pPr/></w:p></w:tc><w:tc><w:tcPr><w:tcW w:w="0" w:type="pct"/><w:noWrap/></w:tcPr><w:p><w:pPr/></w:p></w:tc><w:tc><w:tcPr><w:tcW w:w="47800" w:type="pct"/><w:noWrap/></w:tcPr><w:p><w:pPr/></w:p></w:tc><w:tc><w:tcPr><w:tcW w:w="0" w:type="pct"/><w:noWrap/></w:tcPr><w:p><w:pPr/></w:p></w:tc><w:tc><w:tcPr><w:tcW w:w="32050" w:type="pct"/><w:noWrap/></w:tcPr><w:p><w:pPr/></w:p></w:tc><w:tc><w:tcPr><w:tcW w:w="0" w:type="pct"/><w:noWrap/></w:tcPr><w:p><w:pPr/></w:p></w:tc></w:tr><w:tr><w:trPr><w:trHeight w:val="16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10"/><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Three Months Ended March 31, 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10"/><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For the Year  Ended December 31, 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8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color w:val="rgba(0,0,0,1)"/><w:sz w:val="18"/><w:szCs w:val="18"/><w:b w:val="1"/><w:bCs w:val="1"/><w:shd w:val="clear" w:fill="rgba(0,0,0,0)"/></w:rPr><w:t xml:space="preserve">Revenue by Product Category:</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As Previously Reported</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Adjustments</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As Revised</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As Previously Reported</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Adjustments</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As Revised</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8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Advanced Wound Care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90,950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r><w:rPr><w:rFonts w:ascii="Times New Roman" w:hAnsi="Times New Roman" w:eastAsia="Times New Roman" w:cs="Times New Roman"/><w:color w:val="rgba(0,0,0,1)"/><w:sz w:val="18"/><w:szCs w:val="18"/><w:b w:val="0"/><w:bCs w:val="0"/><w:shd w:val="clear" w:fill="rgba(0,0,0,0)"/></w:rPr><w:t xml:space="preserve">860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90,090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430,839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r><w:rPr><w:rFonts w:ascii="Times New Roman" w:hAnsi="Times New Roman" w:eastAsia="Times New Roman" w:cs="Times New Roman"/><w:color w:val="rgba(0,0,0,1)"/><w:sz w:val="18"/><w:szCs w:val="18"/><w:b w:val="0"/><w:bCs w:val="0"/><w:shd w:val="clear" w:fill="rgba(0,0,0,0)"/></w:rPr><w:t xml:space="preserve">602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430,237</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Surgical & Sports Medicine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7,167</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r><w:rPr><w:rFonts w:ascii="Times New Roman" w:hAnsi="Times New Roman" w:eastAsia="Times New Roman" w:cs="Times New Roman"/><w:color w:val="rgba(0,0,0,1)"/><w:sz w:val="18"/><w:szCs w:val="18"/><w:b w:val="0"/><w:bCs w:val="0"/><w:shd w:val="clear" w:fill="rgba(0,0,0,0)"/></w:rPr><w:t xml:space="preserve">140</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7,027</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37,220</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r><w:rPr><w:rFonts w:ascii="Times New Roman" w:hAnsi="Times New Roman" w:eastAsia="Times New Roman" w:cs="Times New Roman"/><w:color w:val="rgba(0,0,0,1)"/><w:sz w:val="18"/><w:szCs w:val="18"/><w:b w:val="0"/><w:bCs w:val="0"/><w:shd w:val="clear" w:fill="rgba(0,0,0,0)"/></w:rPr><w:t xml:space="preserve">98</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37,122</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r><w:tr><w:trPr><w:trHeight w:val="18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Net revenue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98,117</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r><w:rPr><w:rFonts w:ascii="Times New Roman" w:hAnsi="Times New Roman" w:eastAsia="Times New Roman" w:cs="Times New Roman"/><w:color w:val="rgba(0,0,0,1)"/><w:sz w:val="18"/><w:szCs w:val="18"/><w:b w:val="0"/><w:bCs w:val="0"/><w:shd w:val="clear" w:fill="rgba(0,0,0,0)"/></w:rPr><w:t xml:space="preserve">1,000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97,117</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468,059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r><w:rPr><w:rFonts w:ascii="Times New Roman" w:hAnsi="Times New Roman" w:eastAsia="Times New Roman" w:cs="Times New Roman"/><w:color w:val="rgba(0,0,0,1)"/><w:sz w:val="18"/><w:szCs w:val="18"/><w:b w:val="0"/><w:bCs w:val="0"/><w:shd w:val="clear" w:fill="rgba(0,0,0,0)"/></w:rPr><w:t xml:space="preserve">700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467,359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bl><w:p><w:pPr><w:jc w:val="start"/><w:ind w:left="0" w:right="0" w:firstLine="0" w:hanging="0"/><w:spacing w:before="360" w:after="0" w:line="276" w:lineRule="auto"/></w:pPr><w:r><w:rPr><w:rFonts w:ascii="Times New Roman" w:hAnsi="Times New Roman" w:eastAsia="Times New Roman" w:cs="Times New Roman"/><w:sz w:val="20"/><w:szCs w:val="20"/></w:rPr><w:t xml:space="preserve"> </w:t></w:r></w:p><w:tbl><w:tblGrid><w:gridCol w:w="3100" w:type="dxa"/><w:gridCol w:w="47800" w:type="dxa"/><w:gridCol w:w="0" w:type="dxa"/><w:gridCol w:w="14850" w:type="dxa"/><w:gridCol w:w="0" w:type="dxa"/><w:gridCol w:w="47800" w:type="dxa"/><w:gridCol w:w="0" w:type="dxa"/><w:gridCol w:w="1500000000000050" w:type="dxa"/><w:gridCol w:w="0" w:type="dxa"/><w:gridCol w:w="47800" w:type="dxa"/><w:gridCol w:w="0" w:type="dxa"/><w:gridCol w:w="32050" w:type="dxa"/><w:gridCol w:w="0" w:type="dxa"/><w:gridCol w:w="13100" w:type="dxa"/><w:gridCol w:w="13100" w:type="dxa"/><w:gridCol w:w="0" w:type="dxa"/><w:gridCol w:w="650" w:type="dxa"/><w:gridCol w:w="0" w:type="dxa"/><w:gridCol w:w="47800" w:type="dxa"/><w:gridCol w:w="0" w:type="dxa"/><w:gridCol w:w="16800" w:type="dxa"/><w:gridCol w:w="0" w:type="dxa"/><w:gridCol w:w="47800" w:type="dxa"/><w:gridCol w:w="0" w:type="dxa"/><w:gridCol w:w="32050" w:type="dxa"/><w:gridCol w:w="0" w:type="dxa"/></w:tblGrid><w:tblPr><w:tblW w:w="0" w:type="pct"/><w:tblLayout w:type="autofit"/></w:tblPr><w:tr><w:trPr/><w:tc><w:tcPr><w:tcW w:w="3100" w:type="pct"/><w:noWrap/></w:tcPr><w:p><w:pPr/></w:p></w:tc><w:tc><w:tcPr><w:tcW w:w="47800" w:type="pct"/><w:noWrap/></w:tcPr><w:p><w:pPr/></w:p></w:tc><w:tc><w:tcPr><w:tcW w:w="0" w:type="pct"/><w:noWrap/></w:tcPr><w:p><w:pPr/></w:p></w:tc><w:tc><w:tcPr><w:tcW w:w="14850" w:type="pct"/><w:noWrap/></w:tcPr><w:p><w:pPr/></w:p></w:tc><w:tc><w:tcPr><w:tcW w:w="0" w:type="pct"/><w:noWrap/></w:tcPr><w:p><w:pPr/></w:p></w:tc><w:tc><w:tcPr><w:tcW w:w="47800" w:type="pct"/><w:noWrap/></w:tcPr><w:p><w:pPr/></w:p></w:tc><w:tc><w:tcPr><w:tcW w:w="0" w:type="pct"/><w:noWrap/></w:tcPr><w:p><w:pPr/></w:p></w:tc><w:tc><w:tcPr><w:tcW w:w="1500000000000050" w:type="pct"/><w:noWrap/></w:tcPr><w:p><w:pPr/></w:p></w:tc><w:tc><w:tcPr><w:tcW w:w="0" w:type="pct"/><w:noWrap/></w:tcPr><w:p><w:pPr/></w:p></w:tc><w:tc><w:tcPr><w:tcW w:w="47800" w:type="pct"/><w:noWrap/></w:tcPr><w:p><w:pPr/></w:p></w:tc><w:tc><w:tcPr><w:tcW w:w="0" w:type="pct"/><w:noWrap/></w:tcPr><w:p><w:pPr/></w:p></w:tc><w:tc><w:tcPr><w:tcW w:w="32050" w:type="pct"/><w:noWrap/></w:tcPr><w:p><w:pPr/></w:p></w:tc><w:tc><w:tcPr><w:tcW w:w="0" w:type="pct"/><w:noWrap/></w:tcPr><w:p><w:pPr/></w:p></w:tc><w:tc><w:tcPr><w:tcW w:w="13100" w:type="pct"/><w:noWrap/></w:tcPr><w:p><w:pPr/></w:p></w:tc><w:tc><w:tcPr><w:tcW w:w="13100" w:type="pct"/><w:noWrap/></w:tcPr><w:p><w:pPr/></w:p></w:tc><w:tc><w:tcPr><w:tcW w:w="0" w:type="pct"/><w:noWrap/></w:tcPr><w:p><w:pPr/></w:p></w:tc><w:tc><w:tcPr><w:tcW w:w="650" w:type="pct"/><w:noWrap/></w:tcPr><w:p><w:pPr/></w:p></w:tc><w:tc><w:tcPr><w:tcW w:w="0" w:type="pct"/><w:noWrap/></w:tcPr><w:p><w:pPr/></w:p></w:tc><w:tc><w:tcPr><w:tcW w:w="47800" w:type="pct"/><w:noWrap/></w:tcPr><w:p><w:pPr/></w:p></w:tc><w:tc><w:tcPr><w:tcW w:w="0" w:type="pct"/><w:noWrap/></w:tcPr><w:p><w:pPr/></w:p></w:tc><w:tc><w:tcPr><w:tcW w:w="16800" w:type="pct"/><w:noWrap/></w:tcPr><w:p><w:pPr/></w:p></w:tc><w:tc><w:tcPr><w:tcW w:w="0" w:type="pct"/><w:noWrap/></w:tcPr><w:p><w:pPr/></w:p></w:tc><w:tc><w:tcPr><w:tcW w:w="47800" w:type="pct"/><w:noWrap/></w:tcPr><w:p><w:pPr/></w:p></w:tc><w:tc><w:tcPr><w:tcW w:w="0" w:type="pct"/><w:noWrap/></w:tcPr><w:p><w:pPr/></w:p></w:tc><w:tc><w:tcPr><w:tcW w:w="32050" w:type="pct"/><w:noWrap/></w:tcPr><w:p><w:pPr/></w:p></w:tc><w:tc><w:tcPr><w:tcW w:w="0" w:type="pct"/><w:noWrap/></w:tcPr><w:p><w:pPr/></w:p></w:tc></w:tr><w:tr><w:trPr><w:trHeight w:val="16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10"/><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Three Months Ended March 31, 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10"/><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For the Year  Ended December 31, 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8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color w:val="rgba(0,0,0,1)"/><w:sz w:val="18"/><w:szCs w:val="18"/><w:b w:val="1"/><w:bCs w:val="1"/><w:shd w:val="clear" w:fill="rgba(0,0,0,0)"/></w:rPr><w:t xml:space="preserve">Miscellaneous Items</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As Previously Reported</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Adjustments</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As Revised</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As Previously Reported</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Adjustments</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As Revised</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8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GPO fees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619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1,000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1,619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2,963</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700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3,663</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PuraPly revenue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53,300</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r><w:rPr><w:rFonts w:ascii="Times New Roman" w:hAnsi="Times New Roman" w:eastAsia="Times New Roman" w:cs="Times New Roman"/><w:color w:val="rgba(0,0,0,1)"/><w:sz w:val="18"/><w:szCs w:val="18"/><w:b w:val="0"/><w:bCs w:val="0"/><w:shd w:val="clear" w:fill="rgba(0,0,0,0)"/></w:rPr><w:t xml:space="preserve">500</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52,800</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198,400</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r><w:rPr><w:rFonts w:ascii="Times New Roman" w:hAnsi="Times New Roman" w:eastAsia="Times New Roman" w:cs="Times New Roman"/><w:color w:val="rgba(0,0,0,1)"/><w:sz w:val="18"/><w:szCs w:val="18"/><w:b w:val="0"/><w:bCs w:val="0"/><w:shd w:val="clear" w:fill="rgba(0,0,0,0)"/></w:rPr><w:t xml:space="preserve">350</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198,050</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9</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i w:val="1"/><w:iCs w:val="1"/><w:shd w:val="clear" w:fill="rgba(0,0,0,0)"/></w:rPr><w:t xml:space="preserve">Recently Issued Accounting Pronouncements Not Yet Adopted</w:t></w:r><w:r><w:rPr><w:rFonts w:ascii="Times New Roman" w:hAnsi="Times New Roman" w:eastAsia="Times New Roman" w:cs="Times New Roman"/><w:color w:val="rgba(0,0,0,1)"/><w:sz w:val="20"/><w:szCs w:val="20"/><w:b w:val="1"/><w:bCs w:val="1"/><w:i w:val="1"/><w:i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In June 2016, the FASB issued ASU 2016-13</w:t></w:r><w:r><w:rPr><w:rFonts w:ascii="Times New Roman" w:hAnsi="Times New Roman" w:eastAsia="Times New Roman" w:cs="Times New Roman"/><w:color w:val="rgba(0,0,0,1)"/><w:sz w:val="20"/><w:szCs w:val="20"/><w:b w:val="0"/><w:bCs w:val="0"/><w:i w:val="1"/><w:iCs w:val="1"/><w:shd w:val="clear" w:fill="rgba(0,0,0,0)"/></w:rPr><w:t xml:space="preserve">, Financial Instruments—Credit Losses (Topic 326): Measurement of Credit Losses on Financial Instruments </w:t></w:r><w:r><w:rPr><w:rFonts w:ascii="Times New Roman" w:hAnsi="Times New Roman" w:eastAsia="Times New Roman" w:cs="Times New Roman"/><w:color w:val="rgba(0,0,0,1)"/><w:sz w:val="20"/><w:szCs w:val="20"/><w:b w:val="0"/><w:bCs w:val="0"/><w:shd w:val="clear" w:fill="rgba(0,0,0,0)"/></w:rPr><w:t xml:space="preserve">(“ASU 2016-13”). Subsequent to the issuance of ASU 2016-13, the FASB has issued the following updates: ASU 2018-19, </w:t></w:r><w:r><w:rPr><w:rFonts w:ascii="Times New Roman" w:hAnsi="Times New Roman" w:eastAsia="Times New Roman" w:cs="Times New Roman"/><w:color w:val="rgba(0,0,0,1)"/><w:sz w:val="20"/><w:szCs w:val="20"/><w:b w:val="0"/><w:bCs w:val="0"/><w:i w:val="1"/><w:iCs w:val="1"/><w:shd w:val="clear" w:fill="rgba(0,0,0,0)"/></w:rPr><w:t xml:space="preserve">Codification Improvements to Topic 326, Financial Instruments- Credit Losses</w:t></w:r><w:r><w:rPr><w:rFonts w:ascii="Times New Roman" w:hAnsi="Times New Roman" w:eastAsia="Times New Roman" w:cs="Times New Roman"/><w:color w:val="rgba(0,0,0,1)"/><w:sz w:val="20"/><w:szCs w:val="20"/><w:b w:val="0"/><w:bCs w:val="0"/><w:shd w:val="clear" w:fill="rgba(0,0,0,0)"/></w:rPr><w:t xml:space="preserve">, ASU 2019-04, </w:t></w:r><w:r><w:rPr><w:rFonts w:ascii="Times New Roman" w:hAnsi="Times New Roman" w:eastAsia="Times New Roman" w:cs="Times New Roman"/><w:color w:val="rgba(0,0,0,1)"/><w:sz w:val="20"/><w:szCs w:val="20"/><w:b w:val="0"/><w:bCs w:val="0"/><w:i w:val="1"/><w:iCs w:val="1"/><w:shd w:val="clear" w:fill="rgba(0,0,0,0)"/></w:rPr><w:t xml:space="preserve">Codification Improvements to Topic 326, Financial Instruments—Credit Losses, Topic 815, Derivatives and Hedging, and Topic 825, Financial Instruments</w:t></w:r><w:r><w:rPr><w:rFonts w:ascii="Times New Roman" w:hAnsi="Times New Roman" w:eastAsia="Times New Roman" w:cs="Times New Roman"/><w:color w:val="rgba(0,0,0,1)"/><w:sz w:val="20"/><w:szCs w:val="20"/><w:b w:val="0"/><w:bCs w:val="0"/><w:shd w:val="clear" w:fill="rgba(0,0,0,0)"/></w:rPr><w:t xml:space="preserve">, ASU 2019-05, </w:t></w:r><w:r><w:rPr><w:rFonts w:ascii="Times New Roman" w:hAnsi="Times New Roman" w:eastAsia="Times New Roman" w:cs="Times New Roman"/><w:color w:val="rgba(0,0,0,1)"/><w:sz w:val="20"/><w:szCs w:val="20"/><w:b w:val="0"/><w:bCs w:val="0"/><w:i w:val="1"/><w:iCs w:val="1"/><w:shd w:val="clear" w:fill="rgba(0,0,0,0)"/></w:rPr><w:t xml:space="preserve">Financial Instruments—Credit Losses (Topic 326)—Targeted Transition Relief</w:t></w:r><w:r><w:rPr><w:rFonts w:ascii="Times New Roman" w:hAnsi="Times New Roman" w:eastAsia="Times New Roman" w:cs="Times New Roman"/><w:color w:val="rgba(0,0,0,1)"/><w:sz w:val="20"/><w:szCs w:val="20"/><w:b w:val="0"/><w:bCs w:val="0"/><w:shd w:val="clear" w:fill="rgba(0,0,0,0)"/></w:rPr><w:t xml:space="preserve"> and ASU 2019-11, </w:t></w:r><w:r><w:rPr><w:rFonts w:ascii="Times New Roman" w:hAnsi="Times New Roman" w:eastAsia="Times New Roman" w:cs="Times New Roman"/><w:color w:val="rgba(0,0,0,1)"/><w:sz w:val="20"/><w:szCs w:val="20"/><w:b w:val="0"/><w:bCs w:val="0"/><w:i w:val="1"/><w:iCs w:val="1"/><w:shd w:val="clear" w:fill="rgba(0,0,0,0)"/></w:rPr><w:t xml:space="preserve">Codification Improvements to Topic 326, Financial Instruments—Credit Losses</w:t></w:r><w:r><w:rPr><w:rFonts w:ascii="Times New Roman" w:hAnsi="Times New Roman" w:eastAsia="Times New Roman" w:cs="Times New Roman"/><w:color w:val="rgba(0,0,0,1)"/><w:sz w:val="20"/><w:szCs w:val="20"/><w:b w:val="0"/><w:bCs w:val="0"/><w:shd w:val="clear" w:fill="rgba(0,0,0,0)"/></w:rPr><w:t xml:space="preserve">. The objective of ASU 2016-13 and all the related updates is to provide financial statement users with more decision-useful information about the expected credit losses on financial instruments and other commitments to extend credit held by a reporting entity at each reporting date. The amendments in this ASU replace the incurred loss impairment methodology in current GAAP with a methodology that reflects expected credit losses and requires consideration of a broader range of reasonable and supportable information to inform credit loss estimates. ASU 2016-13 and the related updates are effective for fiscal years, and interim periods within those years, beginning after December 15, 2019 for public business entities excluding entities eligible to be smaller reporting companies and for fiscal years, and interim periods within those years, beginning after December 15, 2022 for all other entities. Early adoption is permitted. As the Company was a smaller reporting company when the standard was issued, the Company took advantage of the extended transition period and will adopt this standard and the related improvements on January 1, 2023 by recognizing a cumulative-effect adjustment to retained earnings for any impact. The Company evaluated the effects of adopting ASU 2016-13 and the related improvements and does not expect a material impact on the Company's consolidated financial statements.</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In March 2020, the FASB issued ASU No. 2020-04, </w:t></w:r><w:r><w:rPr><w:rFonts w:ascii="Times New Roman" w:hAnsi="Times New Roman" w:eastAsia="Times New Roman" w:cs="Times New Roman"/><w:color w:val="rgba(0,0,0,1)"/><w:sz w:val="20"/><w:szCs w:val="20"/><w:b w:val="0"/><w:bCs w:val="0"/><w:i w:val="1"/><w:iCs w:val="1"/><w:shd w:val="clear" w:fill="rgba(0,0,0,0)"/></w:rPr><w:t xml:space="preserve">Reference Rate Reform</w:t></w:r><w:r><w:rPr><w:rFonts w:ascii="Times New Roman" w:hAnsi="Times New Roman" w:eastAsia="Times New Roman" w:cs="Times New Roman"/><w:color w:val="rgba(0,0,0,1)"/><w:sz w:val="20"/><w:szCs w:val="20"/><w:b w:val="0"/><w:bCs w:val="0"/><w:shd w:val="clear" w:fill="rgba(0,0,0,0)"/></w:rPr><w:t xml:space="preserve"> </w:t></w:r><w:r><w:rPr><w:rFonts w:ascii="Times New Roman" w:hAnsi="Times New Roman" w:eastAsia="Times New Roman" w:cs="Times New Roman"/><w:color w:val="rgba(0,0,0,1)"/><w:sz w:val="20"/><w:szCs w:val="20"/><w:b w:val="0"/><w:bCs w:val="0"/><w:i w:val="1"/><w:iCs w:val="1"/><w:shd w:val="clear" w:fill="rgba(0,0,0,0)"/></w:rPr><w:t xml:space="preserve">(Topic 848): Facilitation of the Effects of Reference Rate Reform</w:t></w:r><w:r><w:rPr><w:rFonts w:ascii="Times New Roman" w:hAnsi="Times New Roman" w:eastAsia="Times New Roman" w:cs="Times New Roman"/><w:color w:val="rgba(0,0,0,1)"/><w:sz w:val="20"/><w:szCs w:val="20"/><w:b w:val="0"/><w:bCs w:val="0"/><w:shd w:val="clear" w:fill="rgba(0,0,0,0)"/></w:rPr><w:t xml:space="preserve"> </w:t></w:r><w:r><w:rPr><w:rFonts w:ascii="Times New Roman" w:hAnsi="Times New Roman" w:eastAsia="Times New Roman" w:cs="Times New Roman"/><w:color w:val="rgba(0,0,0,1)"/><w:sz w:val="20"/><w:szCs w:val="20"/><w:b w:val="0"/><w:bCs w:val="0"/><w:i w:val="1"/><w:iCs w:val="1"/><w:shd w:val="clear" w:fill="rgba(0,0,0,0)"/></w:rPr><w:t xml:space="preserve">on Financial Reporting</w:t></w:r><w:r><w:rPr><w:rFonts w:ascii="Times New Roman" w:hAnsi="Times New Roman" w:eastAsia="Times New Roman" w:cs="Times New Roman"/><w:color w:val="rgba(0,0,0,1)"/><w:sz w:val="20"/><w:szCs w:val="20"/><w:b w:val="0"/><w:bCs w:val="0"/><w:shd w:val="clear" w:fill="rgba(0,0,0,0)"/></w:rPr><w:t xml:space="preserve"> (“ASU 2020-04”). ASU 2020-04 provides temporary optional expedients and exceptions to the US GAAP guidance on contract modifications and hedge accounting to ease the financial reporting burdens related to the expected market transition from the London Interbank Offered Rate (LIBOR) and other interbank offered rates to alternative reference rates. In January 2021, the FASB issued ASU No. 2021-01, </w:t></w:r><w:r><w:rPr><w:rFonts w:ascii="Times New Roman" w:hAnsi="Times New Roman" w:eastAsia="Times New Roman" w:cs="Times New Roman"/><w:color w:val="rgba(0,0,0,1)"/><w:sz w:val="20"/><w:szCs w:val="20"/><w:b w:val="0"/><w:bCs w:val="0"/><w:i w:val="1"/><w:iCs w:val="1"/><w:shd w:val="clear" w:fill="rgba(0,0,0,0)"/></w:rPr><w:t xml:space="preserve">Reference Rate Reform</w:t></w:r><w:r><w:rPr><w:rFonts w:ascii="Times New Roman" w:hAnsi="Times New Roman" w:eastAsia="Times New Roman" w:cs="Times New Roman"/><w:color w:val="rgba(0,0,0,1)"/><w:sz w:val="20"/><w:szCs w:val="20"/><w:b w:val="0"/><w:bCs w:val="0"/><w:shd w:val="clear" w:fill="rgba(0,0,0,0)"/></w:rPr><w:t xml:space="preserve"> </w:t></w:r><w:r><w:rPr><w:rFonts w:ascii="Times New Roman" w:hAnsi="Times New Roman" w:eastAsia="Times New Roman" w:cs="Times New Roman"/><w:color w:val="rgba(0,0,0,1)"/><w:sz w:val="20"/><w:szCs w:val="20"/><w:b w:val="0"/><w:bCs w:val="0"/><w:i w:val="1"/><w:iCs w:val="1"/><w:shd w:val="clear" w:fill="rgba(0,0,0,0)"/></w:rPr><w:t xml:space="preserve">(Topic 848): Scope</w:t></w:r><w:r><w:rPr><w:rFonts w:ascii="Times New Roman" w:hAnsi="Times New Roman" w:eastAsia="Times New Roman" w:cs="Times New Roman"/><w:color w:val="rgba(0,0,0,1)"/><w:sz w:val="20"/><w:szCs w:val="20"/><w:b w:val="0"/><w:bCs w:val="0"/><w:shd w:val="clear" w:fill="rgba(0,0,0,0)"/></w:rPr><w:t xml:space="preserve"> (“ASU 2021-01”), to clarify certain optional expedients and exceptions in Topic 848 for contract modifications and hedge accounting to apply to derivatives that are affected by the discounting transition. Both ASU 2020-04 and ASU 2021-01 are effective upon issuance through December 31, 2022. The Company’s debt agreement that utilizes LIBOR has conventional LIBOR replacement language. Since the debt agreement has not discontinued the use of LIBOR, this ASU is not yet effective for the Company. To the extent the interest rate changes to the rate specified in the debt agreement, the Company will utilize the relief in this ASU. The Company evaluated the effects of adopting the provisions of ASU 2020-04 and ASU 2021-01 and does not expect a material impact on the Company’s consolidated financial statements.</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shd w:val="clear" w:fill="rgba(0,0,0,0)"/></w:rPr><w:t xml:space="preserve">3. Acquisition</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On September 17, 2020 (the “Acquisition Date”), the Company acquired certain assets and assumed certain liabilities of CPN Biosciences, LLC (“CPN”) pursuant to an asset purchase agreement dated July 24, 2020. CPN offered a physician office management solution and advanced wound care products.</w:t></w:r><w:r><w:rPr><w:rFonts w:ascii="Times New Roman" w:hAnsi="Times New Roman" w:eastAsia="Times New Roman" w:cs="Times New Roman"/><w:color w:val="rgba(0,0,0,1)"/><w:sz w:val="20"/><w:szCs w:val="20"/><w:b w:val="0"/><w:bCs w:val="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The aggregate consideration amounted to $</w:t></w:r><w:r><w:rPr><w:rFonts w:ascii="Times New Roman" w:hAnsi="Times New Roman" w:eastAsia="Times New Roman" w:cs="Times New Roman"/><w:color w:val="rgba(0,0,0,1)"/><w:sz w:val="20"/><w:szCs w:val="20"/><w:b w:val="0"/><w:bCs w:val="0"/><w:shd w:val="clear" w:fill="rgba(0,0,0,0)"/></w:rPr><w:t xml:space="preserve">19,024</w:t></w:r><w:r><w:rPr><w:rFonts w:ascii="Times New Roman" w:hAnsi="Times New Roman" w:eastAsia="Times New Roman" w:cs="Times New Roman"/><w:color w:val="rgba(0,0,0,1)"/><w:sz w:val="20"/><w:szCs w:val="20"/><w:b w:val="0"/><w:bCs w:val="0"/><w:shd w:val="clear" w:fill="rgba(0,0,0,0)"/></w:rPr><w:t xml:space="preserve"> as of the Acquisition Date, consisting of $</w:t></w:r><w:r><w:rPr><w:rFonts w:ascii="Times New Roman" w:hAnsi="Times New Roman" w:eastAsia="Times New Roman" w:cs="Times New Roman"/><w:color w:val="rgba(0,0,0,1)"/><w:sz w:val="20"/><w:szCs w:val="20"/><w:b w:val="0"/><w:bCs w:val="0"/><w:shd w:val="clear" w:fill="rgba(0,0,0,0)"/></w:rPr><w:t xml:space="preserve">6,427</w:t></w:r><w:r><w:rPr><w:rFonts w:ascii="Times New Roman" w:hAnsi="Times New Roman" w:eastAsia="Times New Roman" w:cs="Times New Roman"/><w:color w:val="rgba(0,0,0,1)"/><w:sz w:val="20"/><w:szCs w:val="20"/><w:b w:val="0"/><w:bCs w:val="0"/><w:shd w:val="clear" w:fill="rgba(0,0,0,0)"/></w:rPr><w:t xml:space="preserve"> in cash, </w:t></w:r><w:r><w:rPr><w:rFonts w:ascii="Times New Roman" w:hAnsi="Times New Roman" w:eastAsia="Times New Roman" w:cs="Times New Roman"/><w:color w:val="rgba(0,0,0,1)"/><w:sz w:val="20"/><w:szCs w:val="20"/><w:b w:val="0"/><w:bCs w:val="0"/><w:shd w:val="clear" w:fill="rgba(0,0,0,0)"/></w:rPr><w:t xml:space="preserve">2,151,438</w:t></w:r><w:r><w:rPr><w:rFonts w:ascii="Times New Roman" w:hAnsi="Times New Roman" w:eastAsia="Times New Roman" w:cs="Times New Roman"/><w:color w:val="rgba(0,0,0,1)"/><w:sz w:val="20"/><w:szCs w:val="20"/><w:b w:val="0"/><w:bCs w:val="0"/><w:shd w:val="clear" w:fill="rgba(0,0,0,0)"/></w:rPr><w:t xml:space="preserve"> shares of the Company’s Class A common stock with a fair value of $</w:t></w:r><w:r><w:rPr><w:rFonts w:ascii="Times New Roman" w:hAnsi="Times New Roman" w:eastAsia="Times New Roman" w:cs="Times New Roman"/><w:color w:val="rgba(0,0,0,1)"/><w:sz w:val="20"/><w:szCs w:val="20"/><w:b w:val="0"/><w:bCs w:val="0"/><w:shd w:val="clear" w:fill="rgba(0,0,0,0)"/></w:rPr><w:t xml:space="preserve">8,815</w:t></w:r><w:r><w:rPr><w:rFonts w:ascii="Times New Roman" w:hAnsi="Times New Roman" w:eastAsia="Times New Roman" w:cs="Times New Roman"/><w:color w:val="rgba(0,0,0,1)"/><w:sz w:val="20"/><w:szCs w:val="20"/><w:b w:val="0"/><w:bCs w:val="0"/><w:shd w:val="clear" w:fill="rgba(0,0,0,0)"/></w:rPr><w:t xml:space="preserve">, and contingent consideration (the “Earnout”) with a fair value of $</w:t></w:r><w:r><w:rPr><w:rFonts w:ascii="Times New Roman" w:hAnsi="Times New Roman" w:eastAsia="Times New Roman" w:cs="Times New Roman"/><w:color w:val="rgba(0,0,0,1)"/><w:sz w:val="20"/><w:szCs w:val="20"/><w:b w:val="0"/><w:bCs w:val="0"/><w:shd w:val="clear" w:fill="rgba(0,0,0,0)"/></w:rPr><w:t xml:space="preserve">3,782</w:t></w:r><w:r><w:rPr><w:rFonts w:ascii="Times New Roman" w:hAnsi="Times New Roman" w:eastAsia="Times New Roman" w:cs="Times New Roman"/><w:color w:val="rgba(0,0,0,1)"/><w:sz w:val="20"/><w:szCs w:val="20"/><w:b w:val="0"/><w:bCs w:val="0"/><w:shd w:val="clear" w:fill="rgba(0,0,0,0)"/></w:rPr><w:t xml:space="preserve">. On the Acquisition Date, the Company paid $</w:t></w:r><w:r><w:rPr><w:rFonts w:ascii="Times New Roman" w:hAnsi="Times New Roman" w:eastAsia="Times New Roman" w:cs="Times New Roman"/><w:color w:val="rgba(0,0,0,1)"/><w:sz w:val="20"/><w:szCs w:val="20"/><w:b w:val="0"/><w:bCs w:val="0"/><w:shd w:val="clear" w:fill="rgba(0,0,0,0)"/></w:rPr><w:t xml:space="preserve">5,820</w:t></w:r><w:r><w:rPr><w:rFonts w:ascii="Times New Roman" w:hAnsi="Times New Roman" w:eastAsia="Times New Roman" w:cs="Times New Roman"/><w:color w:val="rgba(0,0,0,1)"/><w:sz w:val="20"/><w:szCs w:val="20"/><w:b w:val="0"/><w:bCs w:val="0"/><w:shd w:val="clear" w:fill="rgba(0,0,0,0)"/></w:rPr><w:t xml:space="preserve"> in cash and issued </w:t></w:r><w:r><w:rPr><w:rFonts w:ascii="Times New Roman" w:hAnsi="Times New Roman" w:eastAsia="Times New Roman" w:cs="Times New Roman"/><w:color w:val="rgba(0,0,0,1)"/><w:sz w:val="20"/><w:szCs w:val="20"/><w:b w:val="0"/><w:bCs w:val="0"/><w:shd w:val="clear" w:fill="rgba(0,0,0,0)"/></w:rPr><w:t xml:space="preserve">1,947,953</w:t></w:r><w:r><w:rPr><w:rFonts w:ascii="Times New Roman" w:hAnsi="Times New Roman" w:eastAsia="Times New Roman" w:cs="Times New Roman"/><w:color w:val="rgba(0,0,0,1)"/><w:sz w:val="20"/><w:szCs w:val="20"/><w:b w:val="0"/><w:bCs w:val="0"/><w:shd w:val="clear" w:fill="rgba(0,0,0,0)"/></w:rPr><w:t xml:space="preserve"> shares of the Company’s Class A common stock. The remaining consideration of $</w:t></w:r><w:r><w:rPr><w:rFonts w:ascii="Times New Roman" w:hAnsi="Times New Roman" w:eastAsia="Times New Roman" w:cs="Times New Roman"/><w:color w:val="rgba(0,0,0,1)"/><w:sz w:val="20"/><w:szCs w:val="20"/><w:b w:val="0"/><w:bCs w:val="0"/><w:shd w:val="clear" w:fill="rgba(0,0,0,0)"/></w:rPr><w:t xml:space="preserve">1,436</w:t></w:r><w:r><w:rPr><w:rFonts w:ascii="Times New Roman" w:hAnsi="Times New Roman" w:eastAsia="Times New Roman" w:cs="Times New Roman"/><w:color w:val="rgba(0,0,0,1)"/><w:sz w:val="20"/><w:szCs w:val="20"/><w:b w:val="0"/><w:bCs w:val="0"/><w:shd w:val="clear" w:fill="rgba(0,0,0,0)"/></w:rPr><w:t xml:space="preserve"> was held back and was released in April 2022 by the Company paying $</w:t></w:r><w:r><w:rPr><w:rFonts w:ascii="Times New Roman" w:hAnsi="Times New Roman" w:eastAsia="Times New Roman" w:cs="Times New Roman"/><w:color w:val="rgba(0,0,0,1)"/><w:sz w:val="20"/><w:szCs w:val="20"/><w:b w:val="0"/><w:bCs w:val="0"/><w:shd w:val="clear" w:fill="rgba(0,0,0,0)"/></w:rPr><w:t xml:space="preserve">608</w:t></w:r><w:r><w:rPr><w:rFonts w:ascii="Times New Roman" w:hAnsi="Times New Roman" w:eastAsia="Times New Roman" w:cs="Times New Roman"/><w:color w:val="rgba(0,0,0,1)"/><w:sz w:val="20"/><w:szCs w:val="20"/><w:b w:val="0"/><w:bCs w:val="0"/><w:shd w:val="clear" w:fill="rgba(0,0,0,0)"/></w:rPr><w:t xml:space="preserve"> in cash and issuing </w:t></w:r><w:r><w:rPr><w:rFonts w:ascii="Times New Roman" w:hAnsi="Times New Roman" w:eastAsia="Times New Roman" w:cs="Times New Roman"/><w:color w:val="rgba(0,0,0,1)"/><w:sz w:val="20"/><w:szCs w:val="20"/><w:b w:val="0"/><w:bCs w:val="0"/><w:shd w:val="clear" w:fill="rgba(0,0,0,0)"/></w:rPr><w:t xml:space="preserve">203,485</w:t></w:r><w:r><w:rPr><w:rFonts w:ascii="Times New Roman" w:hAnsi="Times New Roman" w:eastAsia="Times New Roman" w:cs="Times New Roman"/><w:color w:val="rgba(0,0,0,1)"/><w:sz w:val="20"/><w:szCs w:val="20"/><w:b w:val="0"/><w:bCs w:val="0"/><w:shd w:val="clear" w:fill="rgba(0,0,0,0)"/></w:rPr><w:t xml:space="preserve"> shares of the Company’s Class A common stock to the former equity holders of CPN.</w:t></w:r><w:r><w:rPr><w:rFonts w:ascii="Times New Roman" w:hAnsi="Times New Roman" w:eastAsia="Times New Roman" w:cs="Times New Roman"/><w:color w:val="rgba(0,0,0,1)"/><w:sz w:val="20"/><w:szCs w:val="20"/><w:b w:val="0"/><w:bCs w:val="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The Company was obligated to pay the Earnout to CPN’s former equity holders if CPN’s legacy product revenue in the Earnout Period (July 1, 2021 to June 30, 2022), exceeded CPN’s 2019 revenue. The amount of the Earnout, if any, would be equal to </w:t></w:r><w:r><w:rPr><w:rFonts w:ascii="Times New Roman" w:hAnsi="Times New Roman" w:eastAsia="Times New Roman" w:cs="Times New Roman"/><w:color w:val="rgba(0,0,0,1)"/><w:sz w:val="20"/><w:szCs w:val="20"/><w:b w:val="0"/><w:bCs w:val="0"/><w:shd w:val="clear" w:fill="rgba(0,0,0,0)"/></w:rPr><w:t xml:space="preserve">70</w:t></w:r><w:r><w:rPr><w:rFonts w:ascii="Times New Roman" w:hAnsi="Times New Roman" w:eastAsia="Times New Roman" w:cs="Times New Roman"/><w:color w:val="rgba(0,0,0,1)"/><w:sz w:val="20"/><w:szCs w:val="20"/><w:b w:val="0"/><w:bCs w:val="0"/><w:shd w:val="clear" w:fill="rgba(0,0,0,0)"/></w:rPr><w:t xml:space="preserve">% of the excess and would be payable 60 days after the expiration of the Earnout Period. As of the conclusion of the Earnout Period on June 30, 2022, the Company calculated the Earnout liability to be $</w:t></w:r><w:r><w:rPr><w:rFonts w:ascii="Times New Roman" w:hAnsi="Times New Roman" w:eastAsia="Times New Roman" w:cs="Times New Roman"/><w:color w:val="rgba(0,0,0,1)"/><w:sz w:val="20"/><w:szCs w:val="20"/><w:b w:val="0"/><w:bCs w:val="0"/><w:shd w:val="clear" w:fill="rgba(0,0,0,0)"/></w:rPr><w:t xml:space="preserve">0</w:t></w:r><w:r><w:rPr><w:rFonts w:ascii="Times New Roman" w:hAnsi="Times New Roman" w:eastAsia="Times New Roman" w:cs="Times New Roman"/><w:color w:val="rgba(0,0,0,1)"/><w:sz w:val="20"/><w:szCs w:val="20"/><w:b w:val="0"/><w:bCs w:val="0"/><w:shd w:val="clear" w:fill="rgba(0,0,0,0)"/></w:rPr><w:t xml:space="preserve">. During the Earnout Period, the Company assessed the fair value of the Earnout liability at each reporting period. Subsequent changes in the estimated fair value of the liability were reflected in earnings until the liability was settled. See Note “5. Fair Value Measurement of Financial Assets and Liabilities”.</w:t></w:r></w:p><w:p><w:pPr><w:jc w:val="center"/><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10</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shd w:val="clear" w:fill="rgba(0,0,0,0)"/></w:rPr><w:t xml:space="preserve">4. Product and Geographic Sales</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The Company generates revenue through the sale of Advanced Wound Care and Surgical & Sports Medicine products. There is a single performance obligation in all of the Company’s contracts, which is the Company’s promise to transfer the Company’s products to customers based on specific payment and shipping terms in the arrangement. The entire transaction price reflects a single performance obligation. Product revenue is recognized when a customer obtains control of the Company’s products which occurs at a point in time and may be upon shipment, procedure date, or delivery, based on the terms of the contract. Revenue is recorded net of a reserve for returns, discounts and GPO rebates, which represent a direct reduction to the revenue recognized. These reductions are accrued at the time revenue is recognized, based upon historical experience and specific circumstances. For the three months ended June 30, 2022 and 2021, the Company recorded GPO fees</w:t></w:r><w:r><w:rPr><w:rFonts w:ascii="Times New Roman" w:hAnsi="Times New Roman" w:eastAsia="Times New Roman" w:cs="Times New Roman"/><w:color w:val="rgba(0,0,0,1)"/><w:sz w:val="20"/><w:szCs w:val="20"/><w:b w:val="0"/><w:bCs w:val="0"/><w:shd w:val="clear" w:fill="rgba(0,0,0,0)"/></w:rPr><w:t xml:space="preserve"> of $</w:t></w:r><w:r><w:rPr><w:rFonts w:ascii="Times New Roman" w:hAnsi="Times New Roman" w:eastAsia="Times New Roman" w:cs="Times New Roman"/><w:color w:val="rgba(0,0,0,1)"/><w:sz w:val="20"/><w:szCs w:val="20"/><w:b w:val="0"/><w:bCs w:val="0"/><w:shd w:val="clear" w:fill="rgba(0,0,0,0)"/></w:rPr><w:t xml:space="preserve">2,334</w:t></w:r><w:r><w:rPr><w:rFonts w:ascii="Times New Roman" w:hAnsi="Times New Roman" w:eastAsia="Times New Roman" w:cs="Times New Roman"/><w:color w:val="rgba(0,0,0,1)"/><w:sz w:val="20"/><w:szCs w:val="20"/><w:b w:val="0"/><w:bCs w:val="0"/><w:shd w:val="clear" w:fill="rgba(0,0,0,0)"/></w:rPr><w:t xml:space="preserve"> an</w:t></w:r><w:r><w:rPr><w:rFonts w:ascii="Times New Roman" w:hAnsi="Times New Roman" w:eastAsia="Times New Roman" w:cs="Times New Roman"/><w:color w:val="rgba(0,0,0,1)"/><w:sz w:val="20"/><w:szCs w:val="20"/><w:b w:val="0"/><w:bCs w:val="0"/><w:shd w:val="clear" w:fill="rgba(0,0,0,0)"/></w:rPr><w:t xml:space="preserve">d $</w:t></w:r><w:r><w:rPr><w:rFonts w:ascii="Times New Roman" w:hAnsi="Times New Roman" w:eastAsia="Times New Roman" w:cs="Times New Roman"/><w:color w:val="rgba(0,0,0,1)"/><w:sz w:val="20"/><w:szCs w:val="20"/><w:b w:val="0"/><w:bCs w:val="0"/><w:shd w:val="clear" w:fill="rgba(0,0,0,0)"/></w:rPr><w:t xml:space="preserve">829</w:t></w:r><w:r><w:rPr><w:rFonts w:ascii="Times New Roman" w:hAnsi="Times New Roman" w:eastAsia="Times New Roman" w:cs="Times New Roman"/><w:color w:val="rgba(0,0,0,1)"/><w:sz w:val="20"/><w:szCs w:val="20"/><w:b w:val="0"/><w:bCs w:val="0"/><w:shd w:val="clear" w:fill="rgba(0,0,0,0)"/></w:rPr><w:t xml:space="preserve">, respectively, as a direct reduction of revenue. For the six months ended June 30, 2022 and 2021, the Company recorded GPO fees</w:t></w:r><w:r><w:rPr><w:rFonts w:ascii="Times New Roman" w:hAnsi="Times New Roman" w:eastAsia="Times New Roman" w:cs="Times New Roman"/><w:color w:val="rgba(0,0,0,1)"/><w:sz w:val="20"/><w:szCs w:val="20"/><w:b w:val="0"/><w:bCs w:val="0"/><w:shd w:val="clear" w:fill="rgba(0,0,0,0)"/></w:rPr><w:t xml:space="preserve"> of $</w:t></w:r><w:r><w:rPr><w:rFonts w:ascii="Times New Roman" w:hAnsi="Times New Roman" w:eastAsia="Times New Roman" w:cs="Times New Roman"/><w:color w:val="rgba(0,0,0,1)"/><w:sz w:val="20"/><w:szCs w:val="20"/><w:b w:val="0"/><w:bCs w:val="0"/><w:shd w:val="clear" w:fill="rgba(0,0,0,0)"/></w:rPr><w:t xml:space="preserve">3,953</w:t></w:r><w:r><w:rPr><w:rFonts w:ascii="Times New Roman" w:hAnsi="Times New Roman" w:eastAsia="Times New Roman" w:cs="Times New Roman"/><w:color w:val="rgba(0,0,0,1)"/><w:sz w:val="20"/><w:szCs w:val="20"/><w:b w:val="0"/><w:bCs w:val="0"/><w:shd w:val="clear" w:fill="rgba(0,0,0,0)"/></w:rPr><w:t xml:space="preserve"> an</w:t></w:r><w:r><w:rPr><w:rFonts w:ascii="Times New Roman" w:hAnsi="Times New Roman" w:eastAsia="Times New Roman" w:cs="Times New Roman"/><w:color w:val="rgba(0,0,0,1)"/><w:sz w:val="20"/><w:szCs w:val="20"/><w:b w:val="0"/><w:bCs w:val="0"/><w:shd w:val="clear" w:fill="rgba(0,0,0,0)"/></w:rPr><w:t xml:space="preserve">d $</w:t></w:r><w:r><w:rPr><w:rFonts w:ascii="Times New Roman" w:hAnsi="Times New Roman" w:eastAsia="Times New Roman" w:cs="Times New Roman"/><w:color w:val="rgba(0,0,0,1)"/><w:sz w:val="20"/><w:szCs w:val="20"/><w:b w:val="0"/><w:bCs w:val="0"/><w:shd w:val="clear" w:fill="rgba(0,0,0,0)"/></w:rPr><w:t xml:space="preserve">1,529</w:t></w:r><w:r><w:rPr><w:rFonts w:ascii="Times New Roman" w:hAnsi="Times New Roman" w:eastAsia="Times New Roman" w:cs="Times New Roman"/><w:color w:val="rgba(0,0,0,1)"/><w:sz w:val="20"/><w:szCs w:val="20"/><w:b w:val="0"/><w:bCs w:val="0"/><w:shd w:val="clear" w:fill="rgba(0,0,0,0)"/></w:rPr><w:t xml:space="preserve">, respectively, as a direct reduction of revenue.</w:t></w:r><w:r><w:rPr><w:rFonts w:ascii="Times New Roman" w:hAnsi="Times New Roman" w:eastAsia="Times New Roman" w:cs="Times New Roman"/><w:color w:val="rgba(0,0,0,1)"/><w:sz w:val="20"/><w:szCs w:val="20"/><w:b w:val="0"/><w:bCs w:val="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In August 2022, the Company reached an agreement with a GPO to settle previously disputed GPO fees for $</w:t></w:r><w:r><w:rPr><w:rFonts w:ascii="Times New Roman" w:hAnsi="Times New Roman" w:eastAsia="Times New Roman" w:cs="Times New Roman"/><w:color w:val="rgba(0,0,0,1)"/><w:sz w:val="20"/><w:szCs w:val="20"/><w:b w:val="0"/><w:bCs w:val="0"/><w:shd w:val="clear" w:fill="rgba(0,0,0,0)"/></w:rPr><w:t xml:space="preserve">3,300</w:t></w:r><w:r><w:rPr><w:rFonts w:ascii="Times New Roman" w:hAnsi="Times New Roman" w:eastAsia="Times New Roman" w:cs="Times New Roman"/><w:color w:val="rgba(0,0,0,1)"/><w:sz w:val="20"/><w:szCs w:val="20"/><w:b w:val="0"/><w:bCs w:val="0"/><w:shd w:val="clear" w:fill="rgba(0,0,0,0)"/></w:rPr><w:t xml:space="preserve">. The settlement fee was included in the GPO fees as a direct reduction of revenue. The Company recorded $</w:t></w:r><w:r><w:rPr><w:rFonts w:ascii="Times New Roman" w:hAnsi="Times New Roman" w:eastAsia="Times New Roman" w:cs="Times New Roman"/><w:color w:val="rgba(0,0,0,1)"/><w:sz w:val="20"/><w:szCs w:val="20"/><w:b w:val="0"/><w:bCs w:val="0"/><w:shd w:val="clear" w:fill="rgba(0,0,0,0)"/></w:rPr><w:t xml:space="preserve">1,600</w:t></w:r><w:r><w:rPr><w:rFonts w:ascii="Times New Roman" w:hAnsi="Times New Roman" w:eastAsia="Times New Roman" w:cs="Times New Roman"/><w:color w:val="rgba(0,0,0,1)"/><w:sz w:val="20"/><w:szCs w:val="20"/><w:b w:val="0"/><w:bCs w:val="0"/><w:shd w:val="clear" w:fill="rgba(0,0,0,0)"/></w:rPr><w:t xml:space="preserve"> of the settlement fee during the three months ended June 30, 2022, and has revised the historical financial statements to include $</w:t></w:r><w:r><w:rPr><w:rFonts w:ascii="Times New Roman" w:hAnsi="Times New Roman" w:eastAsia="Times New Roman" w:cs="Times New Roman"/><w:color w:val="rgba(0,0,0,1)"/><w:sz w:val="20"/><w:szCs w:val="20"/><w:b w:val="0"/><w:bCs w:val="0"/><w:shd w:val="clear" w:fill="rgba(0,0,0,0)"/></w:rPr><w:t xml:space="preserve">1,000</w:t></w:r><w:r><w:rPr><w:rFonts w:ascii="Times New Roman" w:hAnsi="Times New Roman" w:eastAsia="Times New Roman" w:cs="Times New Roman"/><w:color w:val="rgba(0,0,0,1)"/><w:sz w:val="20"/><w:szCs w:val="20"/><w:b w:val="0"/><w:bCs w:val="0"/><w:shd w:val="clear" w:fill="rgba(0,0,0,0)"/></w:rPr><w:t xml:space="preserve"> of the settlement fee in the three months ended March 31, 2022 and $</w:t></w:r><w:r><w:rPr><w:rFonts w:ascii="Times New Roman" w:hAnsi="Times New Roman" w:eastAsia="Times New Roman" w:cs="Times New Roman"/><w:color w:val="rgba(0,0,0,1)"/><w:sz w:val="20"/><w:szCs w:val="20"/><w:b w:val="0"/><w:bCs w:val="0"/><w:shd w:val="clear" w:fill="rgba(0,0,0,0)"/></w:rPr><w:t xml:space="preserve">700</w:t></w:r><w:r><w:rPr><w:rFonts w:ascii="Times New Roman" w:hAnsi="Times New Roman" w:eastAsia="Times New Roman" w:cs="Times New Roman"/><w:color w:val="rgba(0,0,0,1)"/><w:sz w:val="20"/><w:szCs w:val="20"/><w:b w:val="0"/><w:bCs w:val="0"/><w:shd w:val="clear" w:fill="rgba(0,0,0,0)"/></w:rPr><w:t xml:space="preserve"> of the settlement fee during the year ended December 31, 2021. As such, the previously issued financial statements were revised accordingly. See Note "2. Summary of Significant Accounting Policies".</w:t></w:r><w:r><w:rPr><w:rFonts w:ascii="Times New Roman" w:hAnsi="Times New Roman" w:eastAsia="Times New Roman" w:cs="Times New Roman"/><w:color w:val="rgba(0,0,0,1)"/><w:sz w:val="20"/><w:szCs w:val="20"/><w:b w:val="0"/><w:bCs w:val="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The following tables set forth revenue by product category:</w:t></w:r><w:r><w:rPr><w:rFonts w:ascii="Times New Roman" w:hAnsi="Times New Roman" w:eastAsia="Times New Roman" w:cs="Times New Roman"/><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31950" w:type="dxa"/><w:gridCol w:w="24950" w:type="dxa"/><w:gridCol w:w="0" w:type="dxa"/><w:gridCol w:w="48799999999999950" w:type="dxa"/><w:gridCol w:w="0" w:type="dxa"/><w:gridCol w:w="18300" w:type="dxa"/><w:gridCol w:w="0" w:type="dxa"/><w:gridCol w:w="2600" w:type="dxa"/><w:gridCol w:w="0" w:type="dxa"/></w:tblGrid><w:tblPr><w:tblW w:w="0" w:type="pct"/><w:tblLayout w:type="autofit"/></w:tblPr><w:tr><w:trPr/><w:tc><w:tcPr><w:tcW w:w="31950" w:type="pct"/><w:noWrap/></w:tcPr><w:p><w:pPr/></w:p></w:tc><w:tc><w:tcPr><w:tcW w:w="24950" w:type="pct"/><w:noWrap/></w:tcPr><w:p><w:pPr/></w:p></w:tc><w:tc><w:tcPr><w:tcW w:w="0" w:type="pct"/><w:noWrap/></w:tcPr><w:p><w:pPr/></w:p></w:tc><w:tc><w:tcPr><w:tcW w:w="48799999999999950" w:type="pct"/><w:noWrap/></w:tcPr><w:p><w:pPr/></w:p></w:tc><w:tc><w:tcPr><w:tcW w:w="0" w:type="pct"/><w:noWrap/></w:tcPr><w:p><w:pPr/></w:p></w:tc><w:tc><w:tcPr><w:tcW w:w="18300" w:type="pct"/><w:noWrap/></w:tcPr><w:p><w:pPr/></w:p></w:tc><w:tc><w:tcPr><w:tcW w:w="0" w:type="pct"/><w:noWrap/></w:tcPr><w:p><w:pPr/></w:p></w:tc><w:tc><w:tcPr><w:tcW w:w="2600" w:type="pct"/><w:noWrap/></w:tcPr><w:p><w:pPr/></w:p></w:tc><w:tc><w:tcPr><w:tcW w:w="0" w:type="pct"/><w:noWrap/></w:tcPr><w:p><w:pP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Three Months Ended</w:t></w:r><w:br/><w:r><w:rPr><w:rFonts w:ascii="Times New Roman" w:hAnsi="Times New Roman" w:eastAsia="Times New Roman" w:cs="Times New Roman"/><w:color w:val="rgba(0,0,0,1)"/><w:sz w:val="16"/><w:szCs w:val="16"/><w:b w:val="1"/><w:bCs w:val="1"/><w:shd w:val="clear" w:fill="rgba(0,0,0,0)"/></w:rPr><w:t xml:space="preserve">June 30,</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Advanced Wound Care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2"/><w:szCs w:val="22"/><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113,791</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111,436</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Surgical & Sports Medicine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2"/><w:szCs w:val="22"/><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7,610</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11,760</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Total net revenue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2"/><w:szCs w:val="22"/><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121,401</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center"/><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123,196</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31950" w:type="dxa"/><w:gridCol w:w="24950" w:type="dxa"/><w:gridCol w:w="0" w:type="dxa"/><w:gridCol w:w="48799999999999950" w:type="dxa"/><w:gridCol w:w="0" w:type="dxa"/><w:gridCol w:w="18300" w:type="dxa"/><w:gridCol w:w="0" w:type="dxa"/><w:gridCol w:w="2600" w:type="dxa"/><w:gridCol w:w="0" w:type="dxa"/></w:tblGrid><w:tblPr><w:tblW w:w="0" w:type="pct"/><w:tblLayout w:type="autofit"/></w:tblPr><w:tr><w:trPr/><w:tc><w:tcPr><w:tcW w:w="31950" w:type="pct"/><w:noWrap/></w:tcPr><w:p><w:pPr/></w:p></w:tc><w:tc><w:tcPr><w:tcW w:w="24950" w:type="pct"/><w:noWrap/></w:tcPr><w:p><w:pPr/></w:p></w:tc><w:tc><w:tcPr><w:tcW w:w="0" w:type="pct"/><w:noWrap/></w:tcPr><w:p><w:pPr/></w:p></w:tc><w:tc><w:tcPr><w:tcW w:w="48799999999999950" w:type="pct"/><w:noWrap/></w:tcPr><w:p><w:pPr/></w:p></w:tc><w:tc><w:tcPr><w:tcW w:w="0" w:type="pct"/><w:noWrap/></w:tcPr><w:p><w:pPr/></w:p></w:tc><w:tc><w:tcPr><w:tcW w:w="18300" w:type="pct"/><w:noWrap/></w:tcPr><w:p><w:pPr/></w:p></w:tc><w:tc><w:tcPr><w:tcW w:w="0" w:type="pct"/><w:noWrap/></w:tcPr><w:p><w:pPr/></w:p></w:tc><w:tc><w:tcPr><w:tcW w:w="2600" w:type="pct"/><w:noWrap/></w:tcPr><w:p><w:pPr/></w:p></w:tc><w:tc><w:tcPr><w:tcW w:w="0" w:type="pct"/><w:noWrap/></w:tcPr><w:p><w:pP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Six Months Ended</w:t></w:r><w:br/><w:r><w:rPr><w:rFonts w:ascii="Times New Roman" w:hAnsi="Times New Roman" w:eastAsia="Times New Roman" w:cs="Times New Roman"/><w:color w:val="rgba(0,0,0,1)"/><w:sz w:val="16"/><w:szCs w:val="16"/><w:b w:val="1"/><w:bCs w:val="1"/><w:shd w:val="clear" w:fill="rgba(0,0,0,0)"/></w:rPr><w:t xml:space="preserve">June 30,</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Advanced Wound Care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2"/><w:szCs w:val="22"/><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203,881</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202,144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Surgical & Sports Medicine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2"/><w:szCs w:val="22"/><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14,637</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23,604</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Total net revenue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2"/><w:szCs w:val="22"/><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218,518</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center"/><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225,748</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bl><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For all periods presented, net revenue generated outside the United States represented less than </w:t></w:r><w:r><w:rPr><w:rFonts w:ascii="Times New Roman" w:hAnsi="Times New Roman" w:eastAsia="Times New Roman" w:cs="Times New Roman"/><w:color w:val="rgba(0,0,0,1)"/><w:sz w:val="20"/><w:szCs w:val="20"/><w:b w:val="0"/><w:bCs w:val="0"/><w:shd w:val="clear" w:fill="rgba(0,0,0,0)"/></w:rPr><w:t xml:space="preserve">1</w:t></w:r><w:r><w:rPr><w:rFonts w:ascii="Times New Roman" w:hAnsi="Times New Roman" w:eastAsia="Times New Roman" w:cs="Times New Roman"/><w:color w:val="rgba(0,0,0,1)"/><w:sz w:val="20"/><w:szCs w:val="20"/><w:b w:val="0"/><w:bCs w:val="0"/><w:shd w:val="clear" w:fill="rgba(0,0,0,0)"/></w:rPr><w:t xml:space="preserve">% of total net revenue.</w:t></w:r><w:r><w:rPr><w:rFonts w:ascii="Times New Roman" w:hAnsi="Times New Roman" w:eastAsia="Times New Roman" w:cs="Times New Roman"/><w:color w:val="rgba(0,0,0,1)"/><w:sz w:val="20"/><w:szCs w:val="20"/><w:b w:val="0"/><w:bCs w:val="0"/></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shd w:val="clear" w:fill="rgba(0,0,0,0)"/></w:rPr><w:t xml:space="preserve">5. Fair Value Measurement of Financial Assets and Liabilities</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color w:val="rgba(0,0,0,1)"/><w:sz w:val="20"/><w:szCs w:val="20"/><w:b w:val="1"/><w:bCs w:val="1"/><w:i w:val="1"/><w:iCs w:val="1"/><w:shd w:val="clear" w:fill="rgba(0,0,0,0)"/></w:rPr><w:t xml:space="preserve">Earnout Liability</w:t></w:r></w:p><w:p><w:pPr><w:jc w:val="start"/><w:ind w:left="0" w:right="0" w:firstLine="0" w:hanging="0"/><w:spacing w:before="120" w:after="120" w:line="276" w:lineRule="auto"/></w:pPr><w:r><w:rPr><w:rFonts w:ascii="Times New Roman" w:hAnsi="Times New Roman" w:eastAsia="Times New Roman" w:cs="Times New Roman"/><w:color w:val="rgba(0,0,0,1)"/><w:sz w:val="20"/><w:szCs w:val="20"/><w:b w:val="0"/><w:bCs w:val="0"/><w:shd w:val="clear" w:fill="rgba(0,0,0,0)"/></w:rPr><w:t xml:space="preserve">In connection with accounting for the CPN acquisition on September 17, 2020, the Company recorded an Earnout liability of $</w:t></w:r><w:r><w:rPr><w:rFonts w:ascii="Times New Roman" w:hAnsi="Times New Roman" w:eastAsia="Times New Roman" w:cs="Times New Roman"/><w:color w:val="rgba(0,0,0,1)"/><w:sz w:val="20"/><w:szCs w:val="20"/><w:b w:val="0"/><w:bCs w:val="0"/><w:shd w:val="clear" w:fill="rgba(0,0,0,0)"/></w:rPr><w:t xml:space="preserve">3,782</w:t></w:r><w:r><w:rPr><w:rFonts w:ascii="Times New Roman" w:hAnsi="Times New Roman" w:eastAsia="Times New Roman" w:cs="Times New Roman"/><w:color w:val="rgba(0,0,0,1)"/><w:sz w:val="20"/><w:szCs w:val="20"/><w:b w:val="0"/><w:bCs w:val="0"/><w:shd w:val="clear" w:fill="rgba(0,0,0,0)"/></w:rPr><w:t xml:space="preserve"> on the Acquisition Date, representing the fair value of contingent consideration payable upon the achievement of a certain revenue target. The Earnout liability was classified as a Level 3 measurement within the fair value hierarchy for which fair value was derived from inputs that were unobservable and significant to the overall fair value measurement. The fair value of such Earnout liability was estimated using a Monte Carlo simulation model that utilized key assumptions including forecasted revenues and volatilities of the underlying financial metrics during the Earnout Period. The Earnout Period ended on June 30, 2022 and the Company calculated the Earnout liability to be $</w:t></w:r><w:r><w:rPr><w:rFonts w:ascii="Times New Roman" w:hAnsi="Times New Roman" w:eastAsia="Times New Roman" w:cs="Times New Roman"/><w:color w:val="rgba(0,0,0,1)"/><w:sz w:val="20"/><w:szCs w:val="20"/><w:b w:val="0"/><w:bCs w:val="0"/><w:shd w:val="clear" w:fill="rgba(0,0,0,0)"/></w:rPr><w:t xml:space="preserve">0</w:t></w:r><w:r><w:rPr><w:rFonts w:ascii="Times New Roman" w:hAnsi="Times New Roman" w:eastAsia="Times New Roman" w:cs="Times New Roman"/><w:color w:val="rgba(0,0,0,1)"/><w:sz w:val="20"/><w:szCs w:val="20"/><w:b w:val="0"/><w:bCs w:val="0"/><w:shd w:val="clear" w:fill="rgba(0,0,0,0)"/></w:rPr><w:t xml:space="preserve">. Before its settlement, the Company assessed the fair value of the Earnout liability at each reporting period. Any subsequent changes in the estimated fair value of the liability were reflected in selling, general and administrative expenses until the liability was settled. For more information about the Earnout liability, refer to Note “3. Acquisition”.</w:t></w:r><w:r><w:rPr><w:rFonts w:ascii="Times New Roman" w:hAnsi="Times New Roman" w:eastAsia="Times New Roman" w:cs="Times New Roman"/><w:color w:val="rgba(0,0,0,1)"/><w:sz w:val="20"/><w:szCs w:val="20"/><w:b w:val="0"/><w:bCs w:val="0"/></w:rPr><w:t xml:space="preserve"> </w:t></w:r></w:p><w:p><w:pPr><w:jc w:val="start"/><w:ind w:left="0" w:right="0" w:firstLine="0" w:hanging="0"/><w:spacing w:before="120" w:after="120" w:line="276" w:lineRule="auto"/></w:pPr><w:r><w:rPr><w:rFonts w:ascii="Times New Roman" w:hAnsi="Times New Roman" w:eastAsia="Times New Roman" w:cs="Times New Roman"/><w:color w:val="rgba(0,0,0,1)"/><w:sz w:val="20"/><w:szCs w:val="20"/><w:b w:val="0"/><w:bCs w:val="0"/><w:shd w:val="clear" w:fill="rgba(0,0,0,0)"/></w:rPr><w:t xml:space="preserve">As of December 31, 202</w:t></w:r><w:r><w:rPr><w:rFonts w:ascii="Times New Roman" w:hAnsi="Times New Roman" w:eastAsia="Times New Roman" w:cs="Times New Roman"/><w:color w:val="rgba(0,0,0,1)"/><w:sz w:val="20"/><w:szCs w:val="20"/><w:b w:val="0"/><w:bCs w:val="0"/><w:shd w:val="clear" w:fill="rgba(0,0,0,0)"/></w:rPr><w:t xml:space="preserve">1, the Earnout liability was $</w:t></w:r><w:r><w:rPr><w:rFonts w:ascii="Times New Roman" w:hAnsi="Times New Roman" w:eastAsia="Times New Roman" w:cs="Times New Roman"/><w:color w:val="rgba(0,0,0,1)"/><w:sz w:val="20"/><w:szCs w:val="20"/><w:b w:val="0"/><w:bCs w:val="0"/><w:shd w:val="clear" w:fill="rgba(0,0,0,0)"/></w:rPr><w:t xml:space="preserve">0</w:t></w:r><w:r><w:rPr><w:rFonts w:ascii="Times New Roman" w:hAnsi="Times New Roman" w:eastAsia="Times New Roman" w:cs="Times New Roman"/><w:color w:val="rgba(0,0,0,1)"/><w:sz w:val="20"/><w:szCs w:val="20"/><w:b w:val="0"/><w:bCs w:val="0"/><w:shd w:val="clear" w:fill="rgba(0,0,0,0)"/></w:rPr><w:t xml:space="preserve"> as a result of the Company’s assessment of the near-term market for the CPN product portfolio. </w:t></w:r><w:r><w:rPr><w:rFonts w:ascii="Times New Roman" w:hAnsi="Times New Roman" w:eastAsia="Times New Roman" w:cs="Times New Roman"/><w:color w:val="rgba(0,0,0,1)"/><w:sz w:val="20"/><w:szCs w:val="20"/><w:b w:val="0"/><w:bCs w:val="0"/><w:shd w:val="clear" w:fill="rgba(0,0,0,0)"/></w:rPr><w:t xml:space="preserve">The following table provides a roll-forward of the fair value of the Company’s Earnout liability, for which fair value was determined using Level 3 inputs until the end of the Earnout Period on June 30, 2022. </w:t></w:r></w:p><w:p><w:pPr><w:jc w:val="start"/><w:ind w:left="0" w:right="0" w:firstLine="0" w:hanging="0"/><w:spacing w:before="120" w:after="120" w:line="276" w:lineRule="auto"/></w:pPr><w:r><w:rPr><w:rFonts w:ascii="Times New Roman" w:hAnsi="Times New Roman" w:eastAsia="Times New Roman" w:cs="Times New Roman"/><w:sz w:val="20"/><w:szCs w:val="20"/></w:rPr><w:t xml:space="preserve"> </w:t></w:r></w:p><w:p><w:pPr><w:jc w:val="center"/><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11</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17350" w:type="dxa"/><w:gridCol w:w="2100" w:type="dxa"/><w:gridCol w:w="43250" w:type="dxa"/><w:gridCol w:w="4350" w:type="dxa"/><w:gridCol w:w="0" w:type="dxa"/><w:gridCol w:w="17550" w:type="dxa"/><w:gridCol w:w="0" w:type="dxa"/><w:gridCol w:w="39250" w:type="dxa"/><w:gridCol w:w="0" w:type="dxa"/><w:gridCol w:w="3700" w:type="dxa"/><w:gridCol w:w="0" w:type="dxa"/></w:tblGrid><w:tblPr><w:tblW w:w="0" w:type="pct"/><w:tblLayout w:type="autofit"/></w:tblPr><w:tr><w:trPr/><w:tc><w:tcPr><w:tcW w:w="17350" w:type="pct"/><w:noWrap/></w:tcPr><w:p><w:pPr/></w:p></w:tc><w:tc><w:tcPr><w:tcW w:w="2100" w:type="pct"/><w:noWrap/></w:tcPr><w:p><w:pPr/></w:p></w:tc><w:tc><w:tcPr><w:tcW w:w="43250" w:type="pct"/><w:noWrap/></w:tcPr><w:p><w:pPr/></w:p></w:tc><w:tc><w:tcPr><w:tcW w:w="4350" w:type="pct"/><w:noWrap/></w:tcPr><w:p><w:pPr/></w:p></w:tc><w:tc><w:tcPr><w:tcW w:w="0" w:type="pct"/><w:noWrap/></w:tcPr><w:p><w:pPr/></w:p></w:tc><w:tc><w:tcPr><w:tcW w:w="17550" w:type="pct"/><w:noWrap/></w:tcPr><w:p><w:pPr/></w:p></w:tc><w:tc><w:tcPr><w:tcW w:w="0" w:type="pct"/><w:noWrap/></w:tcPr><w:p><w:pPr/></w:p></w:tc><w:tc><w:tcPr><w:tcW w:w="39250" w:type="pct"/><w:noWrap/></w:tcPr><w:p><w:pPr/></w:p></w:tc><w:tc><w:tcPr><w:tcW w:w="0" w:type="pct"/><w:noWrap/></w:tcPr><w:p><w:pPr/></w:p></w:tc><w:tc><w:tcPr><w:tcW w:w="3700" w:type="pct"/><w:noWrap/></w:tcPr><w:p><w:pPr/></w:p></w:tc><w:tc><w:tcPr><w:tcW w:w="0" w:type="pct"/><w:noWrap/></w:tcPr><w:p><w:pPr/></w:p></w:tc></w:tr><w:tr><w:trPr><w:trHeight w:val="16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2"/><w:szCs w:val="22"/><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2"/><w:szCs w:val="22"/><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2"/><w:szCs w:val="22"/><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2"/><w:szCs w:val="22"/><w:shd w:val="clear" w:fill="rgba(0,0,0,0)"/></w:rPr><w:t xml:space="preserve"> </w:t></w:r></w:p></w:tc><w:tc><w:tcPr><w:tcW w:w="0" w:type="pct"/><w:vAlign w:val="bottom"/><w:tcBorders><w:bottom w:val="single" w:sz="5000" w:color="solid"/></w:tcBorders><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Six Months Ended</w:t></w:r><w:br/><w:r><w:rPr><w:rFonts w:ascii="Times New Roman" w:hAnsi="Times New Roman" w:eastAsia="Times New Roman" w:cs="Times New Roman"/><w:color w:val="rgba(0,0,0,1)"/><w:sz w:val="16"/><w:szCs w:val="16"/><w:b w:val="1"/><w:bCs w:val="1"/><w:shd w:val="clear" w:fill="rgba(0,0,0,0)"/></w:rPr><w:t xml:space="preserve">June 30,</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Beginning balance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2"/><w:szCs w:val="22"/><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3,985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Change in fair value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2"/><w:szCs w:val="22"/><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3,058</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r><w:trPr><w:trHeight w:val="200" w:hRule="exact"/></w:trPr><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Ending balance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center"/><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927</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bl><w:p><w:pPr><w:jc w:val="start"/><w:ind w:left="0" w:right="0" w:firstLine="0" w:hanging="0"/><w:spacing w:before="120" w:after="120" w:line="276" w:lineRule="auto"/></w:pPr><w:r><w:rPr><w:rFonts w:ascii="Times New Roman" w:hAnsi="Times New Roman" w:eastAsia="Times New Roman" w:cs="Times New Roman"/><w:color w:val="rgba(0,0,0,1)"/><w:sz w:val="20"/><w:szCs w:val="20"/><w:b w:val="0"/><w:bCs w:val="0"/><w:shd w:val="clear" w:fill="rgba(0,0,0,0)"/></w:rPr><w:t xml:space="preserve">The Company did not have any financial assets and liabilities measured at fair value on a non-recurring basis as of June 30, 2022 and December 31, 2021.</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shd w:val="clear" w:fill="rgba(0,0,0,0)"/></w:rPr><w:t xml:space="preserve">6. Accounts Receivable, Net</w:t></w:r><w:r><w:rPr><w:rFonts w:ascii="Times New Roman" w:hAnsi="Times New Roman" w:eastAsia="Times New Roman" w:cs="Times New Roman"/><w:color w:val="rgba(0,0,0,1)"/><w:sz w:val="20"/><w:szCs w:val="20"/><w:b w:val="1"/><w:b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Accounts receivable consisted o</w:t></w:r><w:r><w:rPr><w:rFonts w:ascii="Times New Roman" w:hAnsi="Times New Roman" w:eastAsia="Times New Roman" w:cs="Times New Roman"/><w:color w:val="rgba(0,0,0,1)"/><w:sz w:val="20"/><w:szCs w:val="20"/><w:b w:val="0"/><w:bCs w:val="0"/><w:shd w:val="clear" w:fill="rgba(0,0,0,0)"/></w:rPr><w:t xml:space="preserve">f the following:</w:t></w:r><w:r><w:rPr><w:rFonts w:ascii="Times New Roman" w:hAnsi="Times New Roman" w:eastAsia="Times New Roman" w:cs="Times New Roman"/><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450" w:type="dxa"/><w:gridCol w:w="27600" w:type="dxa"/><w:gridCol w:w="0" w:type="dxa"/><w:gridCol w:w="9549999999999950" w:type="dxa"/><w:gridCol w:w="0" w:type="dxa"/><w:gridCol w:w="27600" w:type="dxa"/><w:gridCol w:w="0" w:type="dxa"/><w:gridCol w:w="30750" w:type="dxa"/><w:gridCol w:w="0" w:type="dxa"/></w:tblGrid><w:tblPr><w:tblW w:w="0" w:type="pct"/><w:tblLayout w:type="autofit"/></w:tblPr><w:tr><w:trPr/><w:tc><w:tcPr><w:tcW w:w="450" w:type="pct"/><w:noWrap/></w:tcPr><w:p><w:pPr/></w:p></w:tc><w:tc><w:tcPr><w:tcW w:w="27600" w:type="pct"/><w:noWrap/></w:tcPr><w:p><w:pPr/></w:p></w:tc><w:tc><w:tcPr><w:tcW w:w="0" w:type="pct"/><w:noWrap/></w:tcPr><w:p><w:pPr/></w:p></w:tc><w:tc><w:tcPr><w:tcW w:w="9549999999999950" w:type="pct"/><w:noWrap/></w:tcPr><w:p><w:pPr/></w:p></w:tc><w:tc><w:tcPr><w:tcW w:w="0" w:type="pct"/><w:noWrap/></w:tcPr><w:p><w:pPr/></w:p></w:tc><w:tc><w:tcPr><w:tcW w:w="27600" w:type="pct"/><w:noWrap/></w:tcPr><w:p><w:pPr/></w:p></w:tc><w:tc><w:tcPr><w:tcW w:w="0" w:type="pct"/><w:noWrap/></w:tcPr><w:p><w:pPr/></w:p></w:tc><w:tc><w:tcPr><w:tcW w:w="30750" w:type="pct"/><w:noWrap/></w:tcPr><w:p><w:pPr/></w:p></w:tc><w:tc><w:tcPr><w:tcW w:w="0" w:type="pct"/><w:noWrap/></w:tcPr><w:p><w:pP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June 30,</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December 31,</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Accounts receivable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2"/><w:szCs w:val="22"/><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93,846</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87,613</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Less — allowance for doubtful accounts</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2"/><w:szCs w:val="22"/><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5,022</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5,153</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r><w:trPr><w:trHeight w:val="220.00000000000003" w:hRule="exact"/></w:trPr><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2"/><w:szCs w:val="22"/><w:b w:val="0"/><w:bCs w:val="0"/><w:shd w:val="clear" w:fill="rgba(207,240,252,1)"/></w:rPr><w:t xml:space="preserve"> </w:t></w:r><w:r><w:rPr><w:rFonts w:ascii="Times New Roman" w:hAnsi="Times New Roman" w:eastAsia="Times New Roman" w:cs="Times New Roman"/><w:sz w:val="22"/><w:szCs w:val="22"/><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2"/><w:szCs w:val="22"/><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88,824</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2"/><w:szCs w:val="22"/><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82,460</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color w:val="rgba(0,0,0,1)"/><w:sz w:val="20"/><w:szCs w:val="20"/><w:b w:val="0"/><w:bCs w:val="0"/><w:shd w:val="clear" w:fill="rgba(0,0,0,0)"/></w:rPr><w:t xml:space="preserve">The Company’s allowance for doubtful accounts</w:t></w:r><w:r><w:rPr><w:rFonts w:ascii="Times New Roman" w:hAnsi="Times New Roman" w:eastAsia="Times New Roman" w:cs="Times New Roman"/><w:color w:val="rgba(0,0,0,1)"/><w:sz w:val="20"/><w:szCs w:val="20"/><w:b w:val="0"/><w:bCs w:val="0"/><w:shd w:val="clear" w:fill="rgba(0,0,0,0)"/></w:rPr><w:t xml:space="preserve"> was comprised of the following:</w:t></w:r><w:r><w:rPr><w:rFonts w:ascii="Times New Roman" w:hAnsi="Times New Roman" w:eastAsia="Times New Roman" w:cs="Times New Roman"/><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8550" w:type="dxa"/><w:gridCol w:w="19600" w:type="dxa"/><w:gridCol w:w="0" w:type="dxa"/><w:gridCol w:w="21950" w:type="dxa"/><w:gridCol w:w="0" w:type="dxa"/><w:gridCol w:w="19600" w:type="dxa"/><w:gridCol w:w="0" w:type="dxa"/><w:gridCol w:w="34549999999999950" w:type="dxa"/><w:gridCol w:w="0" w:type="dxa"/><w:gridCol w:w="19600" w:type="dxa"/><w:gridCol w:w="0" w:type="dxa"/><w:gridCol w:w="21950" w:type="dxa"/><w:gridCol w:w="0" w:type="dxa"/><w:gridCol w:w="19600" w:type="dxa"/><w:gridCol w:w="0" w:type="dxa"/><w:gridCol w:w="34549999999999950" w:type="dxa"/><w:gridCol w:w="0" w:type="dxa"/></w:tblGrid><w:tblPr><w:tblW w:w="0" w:type="pct"/><w:tblLayout w:type="autofit"/></w:tblPr><w:tr><w:trPr/><w:tc><w:tcPr><w:tcW w:w="8550" w:type="pct"/><w:noWrap/></w:tcPr><w:p><w:pPr/></w:p></w:tc><w:tc><w:tcPr><w:tcW w:w="19600" w:type="pct"/><w:noWrap/></w:tcPr><w:p><w:pPr/></w:p></w:tc><w:tc><w:tcPr><w:tcW w:w="0" w:type="pct"/><w:noWrap/></w:tcPr><w:p><w:pPr/></w:p></w:tc><w:tc><w:tcPr><w:tcW w:w="21950" w:type="pct"/><w:noWrap/></w:tcPr><w:p><w:pPr/></w:p></w:tc><w:tc><w:tcPr><w:tcW w:w="0" w:type="pct"/><w:noWrap/></w:tcPr><w:p><w:pPr/></w:p></w:tc><w:tc><w:tcPr><w:tcW w:w="19600" w:type="pct"/><w:noWrap/></w:tcPr><w:p><w:pPr/></w:p></w:tc><w:tc><w:tcPr><w:tcW w:w="0" w:type="pct"/><w:noWrap/></w:tcPr><w:p><w:pPr/></w:p></w:tc><w:tc><w:tcPr><w:tcW w:w="34549999999999950" w:type="pct"/><w:noWrap/></w:tcPr><w:p><w:pPr/></w:p></w:tc><w:tc><w:tcPr><w:tcW w:w="0" w:type="pct"/><w:noWrap/></w:tcPr><w:p><w:pPr/></w:p></w:tc><w:tc><w:tcPr><w:tcW w:w="19600" w:type="pct"/><w:noWrap/></w:tcPr><w:p><w:pPr/></w:p></w:tc><w:tc><w:tcPr><w:tcW w:w="0" w:type="pct"/><w:noWrap/></w:tcPr><w:p><w:pPr/></w:p></w:tc><w:tc><w:tcPr><w:tcW w:w="21950" w:type="pct"/><w:noWrap/></w:tcPr><w:p><w:pPr/></w:p></w:tc><w:tc><w:tcPr><w:tcW w:w="0" w:type="pct"/><w:noWrap/></w:tcPr><w:p><w:pPr/></w:p></w:tc><w:tc><w:tcPr><w:tcW w:w="19600" w:type="pct"/><w:noWrap/></w:tcPr><w:p><w:pPr/></w:p></w:tc><w:tc><w:tcPr><w:tcW w:w="0" w:type="pct"/><w:noWrap/></w:tcPr><w:p><w:pPr/></w:p></w:tc><w:tc><w:tcPr><w:tcW w:w="34549999999999950" w:type="pct"/><w:noWrap/></w:tcPr><w:p><w:pPr/></w:p></w:tc><w:tc><w:tcPr><w:tcW w:w="0" w:type="pct"/><w:noWrap/></w:tcPr><w:p><w:pP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Three Months Ended</w:t></w:r><w:br/><w:r><w:rPr><w:rFonts w:ascii="Times New Roman" w:hAnsi="Times New Roman" w:eastAsia="Times New Roman" w:cs="Times New Roman"/><w:color w:val="rgba(0,0,0,1)"/><w:sz w:val="16"/><w:szCs w:val="16"/><w:b w:val="1"/><w:bCs w:val="1"/><w:shd w:val="clear" w:fill="rgba(0,0,0,0)"/></w:rPr><w:t xml:space="preserve">June 30,</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Six Months Ended</w:t></w:r><w:br/><w:r><w:rPr><w:rFonts w:ascii="Times New Roman" w:hAnsi="Times New Roman" w:eastAsia="Times New Roman" w:cs="Times New Roman"/><w:color w:val="rgba(0,0,0,1)"/><w:sz w:val="16"/><w:szCs w:val="16"/><w:b w:val="1"/><w:bCs w:val="1"/><w:shd w:val="clear" w:fill="rgba(0,0,0,0)"/></w:rPr><w:t xml:space="preserve">June 30,</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Balance at beginning of period</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5,127</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3,576</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5,153</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2,669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Additions</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82</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575</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122</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1,496</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Write-offs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187</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19</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253</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33</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Balance at end of period</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5,022</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4,132</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5,022</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4,132</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shd w:val="clear" w:fill="rgba(0,0,0,0)"/></w:rPr><w:t xml:space="preserve">7. Inventories</w:t></w:r><w:r><w:rPr><w:rFonts w:ascii="Times New Roman" w:hAnsi="Times New Roman" w:eastAsia="Times New Roman" w:cs="Times New Roman"/><w:color w:val="rgba(0,0,0,1)"/><w:sz w:val="20"/><w:szCs w:val="20"/><w:b w:val="1"/><w:b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Inventories, net of related reserves for excess and obsolescence, cons</w:t></w:r><w:r><w:rPr><w:rFonts w:ascii="Times New Roman" w:hAnsi="Times New Roman" w:eastAsia="Times New Roman" w:cs="Times New Roman"/><w:color w:val="rgba(0,0,0,1)"/><w:sz w:val="20"/><w:szCs w:val="20"/><w:b w:val="0"/><w:bCs w:val="0"/><w:shd w:val="clear" w:fill="rgba(0,0,0,0)"/></w:rPr><w:t xml:space="preserve">isted of the following:</w:t></w:r><w:r><w:rPr><w:rFonts w:ascii="Times New Roman" w:hAnsi="Times New Roman" w:eastAsia="Times New Roman" w:cs="Times New Roman"/><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49750" w:type="dxa"/><w:gridCol w:w="22950" w:type="dxa"/><w:gridCol w:w="0" w:type="dxa"/><w:gridCol w:w="19900" w:type="dxa"/><w:gridCol w:w="0" w:type="dxa"/><w:gridCol w:w="16300" w:type="dxa"/><w:gridCol w:w="0" w:type="dxa"/><w:gridCol w:w="41150" w:type="dxa"/><w:gridCol w:w="0" w:type="dxa"/></w:tblGrid><w:tblPr><w:tblW w:w="0" w:type="pct"/><w:tblLayout w:type="autofit"/></w:tblPr><w:tr><w:trPr/><w:tc><w:tcPr><w:tcW w:w="49750" w:type="pct"/><w:noWrap/></w:tcPr><w:p><w:pPr/></w:p></w:tc><w:tc><w:tcPr><w:tcW w:w="22950" w:type="pct"/><w:noWrap/></w:tcPr><w:p><w:pPr/></w:p></w:tc><w:tc><w:tcPr><w:tcW w:w="0" w:type="pct"/><w:noWrap/></w:tcPr><w:p><w:pPr/></w:p></w:tc><w:tc><w:tcPr><w:tcW w:w="19900" w:type="pct"/><w:noWrap/></w:tcPr><w:p><w:pPr/></w:p></w:tc><w:tc><w:tcPr><w:tcW w:w="0" w:type="pct"/><w:noWrap/></w:tcPr><w:p><w:pPr/></w:p></w:tc><w:tc><w:tcPr><w:tcW w:w="16300" w:type="pct"/><w:noWrap/></w:tcPr><w:p><w:pPr/></w:p></w:tc><w:tc><w:tcPr><w:tcW w:w="0" w:type="pct"/><w:noWrap/></w:tcPr><w:p><w:pPr/></w:p></w:tc><w:tc><w:tcPr><w:tcW w:w="41150" w:type="pct"/><w:noWrap/></w:tcPr><w:p><w:pPr/></w:p></w:tc><w:tc><w:tcPr><w:tcW w:w="0" w:type="pct"/><w:noWrap/></w:tcPr><w:p><w:pP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June 30,</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December 31,</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Raw materials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10,228</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9,023</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Work in process</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1,041</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991</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Finished goods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11,966</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15,008</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w:szCs w:val="2"/><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w:szCs w:val="2"/><w:shd w:val="clear" w:fill="rgba(0,0,0,0)"/></w:rPr><w:t xml:space="preserve"> </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23,235</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2"/><w:szCs w:val="2"/><w:shd w:val="clear" w:fill="rgba(0,0,0,0)"/></w:rPr><w:t xml:space="preserve"> </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25,022</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color w:val="rgba(0,0,0,1)"/><w:sz w:val="20"/><w:szCs w:val="20"/><w:b w:val="0"/><w:bCs w:val="0"/><w:shd w:val="clear" w:fill="rgba(0,0,0,0)"/></w:rPr><w:t xml:space="preserve">Raw materials include various components used in the Company’s manufacturing process. The Company’s excess and obsolete inventory review process includes analysis of sales forecasts and historical sales as compared to inventory level, and working with operations to maximize recovery of excess inventory. During the three months ended June 30, 2022 and 2021, the Company charged </w:t></w: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3,023</w:t></w:r><w:r><w:rPr><w:rFonts w:ascii="Times New Roman" w:hAnsi="Times New Roman" w:eastAsia="Times New Roman" w:cs="Times New Roman"/><w:color w:val="rgba(0,0,0,1)"/><w:sz w:val="20"/><w:szCs w:val="20"/><w:b w:val="0"/><w:bCs w:val="0"/><w:shd w:val="clear" w:fill="rgba(0,0,0,0)"/></w:rPr><w:t xml:space="preserve"> and $</w:t></w:r><w:r><w:rPr><w:rFonts w:ascii="Times New Roman" w:hAnsi="Times New Roman" w:eastAsia="Times New Roman" w:cs="Times New Roman"/><w:color w:val="rgba(0,0,0,1)"/><w:sz w:val="20"/><w:szCs w:val="20"/><w:b w:val="0"/><w:bCs w:val="0"/><w:shd w:val="clear" w:fill="rgba(0,0,0,0)"/></w:rPr><w:t xml:space="preserve">2,388</w:t></w:r><w:r><w:rPr><w:rFonts w:ascii="Times New Roman" w:hAnsi="Times New Roman" w:eastAsia="Times New Roman" w:cs="Times New Roman"/><w:color w:val="rgba(0,0,0,1)"/><w:sz w:val="20"/><w:szCs w:val="20"/><w:b w:val="0"/><w:bCs w:val="0"/><w:shd w:val="clear" w:fill="rgba(0,0,0,0)"/></w:rPr><w:t xml:space="preserve">, respectively, for inventory excess and obsolescence to cost of goods sold within the consolidated statements of operations. During the six months ended June 30, 2022 and 2021, the Company charged $</w:t></w:r><w:r><w:rPr><w:rFonts w:ascii="Times New Roman" w:hAnsi="Times New Roman" w:eastAsia="Times New Roman" w:cs="Times New Roman"/><w:color w:val="rgba(0,0,0,1)"/><w:sz w:val="20"/><w:szCs w:val="20"/><w:b w:val="0"/><w:bCs w:val="0"/><w:shd w:val="clear" w:fill="rgba(0,0,0,0)"/></w:rPr><w:t xml:space="preserve">5,228</w:t></w:r><w:r><w:rPr><w:rFonts w:ascii="Times New Roman" w:hAnsi="Times New Roman" w:eastAsia="Times New Roman" w:cs="Times New Roman"/><w:color w:val="rgba(0,0,0,1)"/><w:sz w:val="20"/><w:szCs w:val="20"/><w:b w:val="0"/><w:bCs w:val="0"/><w:shd w:val="clear" w:fill="rgba(0,0,0,0)"/></w:rPr><w:t xml:space="preserve"> and $</w:t></w:r><w:r><w:rPr><w:rFonts w:ascii="Times New Roman" w:hAnsi="Times New Roman" w:eastAsia="Times New Roman" w:cs="Times New Roman"/><w:color w:val="rgba(0,0,0,1)"/><w:sz w:val="20"/><w:szCs w:val="20"/><w:b w:val="0"/><w:bCs w:val="0"/><w:shd w:val="clear" w:fill="rgba(0,0,0,0)"/></w:rPr><w:t xml:space="preserve">4,678</w:t></w:r><w:r><w:rPr><w:rFonts w:ascii="Times New Roman" w:hAnsi="Times New Roman" w:eastAsia="Times New Roman" w:cs="Times New Roman"/><w:color w:val="rgba(0,0,0,1)"/><w:sz w:val="20"/><w:szCs w:val="20"/><w:b w:val="0"/><w:bCs w:val="0"/><w:shd w:val="clear" w:fill="rgba(0,0,0,0)"/></w:rPr><w:t xml:space="preserve">, respectively, for inventory excess and obsolescence to cost of goods sold within the consolidated statements of operations.</w:t></w:r><w:r><w:rPr><w:rFonts w:ascii="Times New Roman" w:hAnsi="Times New Roman" w:eastAsia="Times New Roman" w:cs="Times New Roman"/><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12</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color w:val="rgba(0,0,0,1)"/><w:sz w:val="20"/><w:szCs w:val="20"/><w:b w:val="1"/><w:bCs w:val="1"/><w:shd w:val="clear" w:fill="rgba(0,0,0,0)"/></w:rPr><w:t xml:space="preserve">8. Prepaid Expenses and Other Current Assets</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Prepaid expenses and other current assets consisted </w:t></w:r><w:r><w:rPr><w:rFonts w:ascii="Times New Roman" w:hAnsi="Times New Roman" w:eastAsia="Times New Roman" w:cs="Times New Roman"/><w:color w:val="rgba(0,0,0,1)"/><w:sz w:val="20"/><w:szCs w:val="20"/><w:b w:val="0"/><w:bCs w:val="0"/><w:shd w:val="clear" w:fill="rgba(0,0,0,0)"/></w:rPr><w:t xml:space="preserve">of the following:</w:t></w:r></w:p><w:p><w:pPr><w:jc w:val="start"/><w:ind w:left="0" w:right="0" w:firstLine="0" w:hanging="0"/><w:spacing w:before="120" w:after="0" w:line="276" w:lineRule="auto"/></w:pPr><w:r><w:rPr><w:rFonts w:ascii="Times New Roman" w:hAnsi="Times New Roman" w:eastAsia="Times New Roman" w:cs="Times New Roman"/><w:sz w:val="20"/><w:szCs w:val="20"/></w:rPr><w:t xml:space="preserve"> </w:t></w:r></w:p><w:tbl><w:tblGrid><w:gridCol w:w="19250" w:type="dxa"/><w:gridCol w:w="28900" w:type="dxa"/><w:gridCol w:w="0" w:type="dxa"/><w:gridCol w:w="17850000000000050" w:type="dxa"/><w:gridCol w:w="0" w:type="dxa"/><w:gridCol w:w="28900" w:type="dxa"/><w:gridCol w:w="0" w:type="dxa"/><w:gridCol w:w="5049999999999950" w:type="dxa"/><w:gridCol w:w="0" w:type="dxa"/></w:tblGrid><w:tblPr><w:tblW w:w="0" w:type="pct"/><w:tblLayout w:type="autofit"/></w:tblPr><w:tr><w:trPr/><w:tc><w:tcPr><w:tcW w:w="19250" w:type="pct"/><w:noWrap/></w:tcPr><w:p><w:pPr/></w:p></w:tc><w:tc><w:tcPr><w:tcW w:w="28900" w:type="pct"/><w:noWrap/></w:tcPr><w:p><w:pPr/></w:p></w:tc><w:tc><w:tcPr><w:tcW w:w="0" w:type="pct"/><w:noWrap/></w:tcPr><w:p><w:pPr/></w:p></w:tc><w:tc><w:tcPr><w:tcW w:w="17850000000000050" w:type="pct"/><w:noWrap/></w:tcPr><w:p><w:pPr/></w:p></w:tc><w:tc><w:tcPr><w:tcW w:w="0" w:type="pct"/><w:noWrap/></w:tcPr><w:p><w:pPr/></w:p></w:tc><w:tc><w:tcPr><w:tcW w:w="28900" w:type="pct"/><w:noWrap/></w:tcPr><w:p><w:pPr/></w:p></w:tc><w:tc><w:tcPr><w:tcW w:w="0" w:type="pct"/><w:noWrap/></w:tcPr><w:p><w:pPr/></w:p></w:tc><w:tc><w:tcPr><w:tcW w:w="5049999999999950" w:type="pct"/><w:noWrap/></w:tcPr><w:p><w:pPr/></w:p></w:tc><w:tc><w:tcPr><w:tcW w:w="0" w:type="pct"/><w:noWrap/></w:tcPr><w:p><w:pP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June 30,</w:t></w:r><w:br/><w:r><w:rPr><w:rFonts w:ascii="Times New Roman" w:hAnsi="Times New Roman" w:eastAsia="Times New Roman" w:cs="Times New Roman"/><w:color w:val="rgba(0,0,0,1)"/><w:sz w:val="16"/><w:szCs w:val="16"/><w:b w:val="1"/><w:bCs w:val="1"/><w:shd w:val="clear" w:fill="rgba(0,0,0,0)"/></w:rPr><w:t xml:space="preserve">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December 31, </w:t></w:r><w:br/><w:r><w:rPr><w:rFonts w:ascii="Times New Roman" w:hAnsi="Times New Roman" w:eastAsia="Times New Roman" w:cs="Times New Roman"/><w:color w:val="rgba(0,0,0,1)"/><w:sz w:val="16"/><w:szCs w:val="16"/><w:b w:val="1"/><w:bCs w:val="1"/><w:shd w:val="clear" w:fill="rgba(0,0,0,0)"/></w:rPr><w:t xml:space="preserve">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Subscriptions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2,147</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2,745</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Conferences and marketing expenses</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2,371</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538</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Deposits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2"/><w:szCs w:val="22"/><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958</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1,216</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Insurance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2"/><w:szCs w:val="22"/><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1,021</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358</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Other</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43</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112</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 </w:t></w: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6,540</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4,969</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color w:val="rgba(0,0,0,1)"/><w:sz w:val="20"/><w:szCs w:val="20"/><w:b w:val="0"/><w:bCs w:val="0"/><w:shd w:val="clear" w:fill="rgba(0,0,0,0)"/></w:rPr><w:t xml:space="preserve">Deposits are funds held by vendors which are expected to be released within twelve months and therefore they are recorded as current assets.</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shd w:val="clear" w:fill="rgba(0,0,0,0)"/></w:rPr><w:t xml:space="preserve">9. Property and Equipment, Net</w:t></w:r><w:r><w:rPr><w:rFonts w:ascii="Times New Roman" w:hAnsi="Times New Roman" w:eastAsia="Times New Roman" w:cs="Times New Roman"/><w:color w:val="rgba(0,0,0,1)"/><w:sz w:val="20"/><w:szCs w:val="20"/><w:b w:val="1"/><w:b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Property and equipme</w:t></w:r><w:r><w:rPr><w:rFonts w:ascii="Times New Roman" w:hAnsi="Times New Roman" w:eastAsia="Times New Roman" w:cs="Times New Roman"/><w:color w:val="rgba(0,0,0,1)"/><w:sz w:val="20"/><w:szCs w:val="20"/><w:b w:val="0"/><w:bCs w:val="0"/><w:shd w:val="clear" w:fill="rgba(0,0,0,0)"/></w:rPr><w:t xml:space="preserve">nt consisted of the following:</w:t></w:r><w:r><w:rPr><w:rFonts w:ascii="Times New Roman" w:hAnsi="Times New Roman" w:eastAsia="Times New Roman" w:cs="Times New Roman"/><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16550" w:type="dxa"/><w:gridCol w:w="24250" w:type="dxa"/><w:gridCol w:w="0" w:type="dxa"/><w:gridCol w:w="21099999999999950" w:type="dxa"/><w:gridCol w:w="0" w:type="dxa"/><w:gridCol w:w="16950" w:type="dxa"/><w:gridCol w:w="0" w:type="dxa"/><w:gridCol w:w="21099999999999950" w:type="dxa"/><w:gridCol w:w="0" w:type="dxa"/></w:tblGrid><w:tblPr><w:tblW w:w="0" w:type="pct"/><w:tblLayout w:type="autofit"/></w:tblPr><w:tr><w:trPr/><w:tc><w:tcPr><w:tcW w:w="16550" w:type="pct"/><w:noWrap/></w:tcPr><w:p><w:pPr/></w:p></w:tc><w:tc><w:tcPr><w:tcW w:w="24250" w:type="pct"/><w:noWrap/></w:tcPr><w:p><w:pPr/></w:p></w:tc><w:tc><w:tcPr><w:tcW w:w="0" w:type="pct"/><w:noWrap/></w:tcPr><w:p><w:pPr/></w:p></w:tc><w:tc><w:tcPr><w:tcW w:w="21099999999999950" w:type="pct"/><w:noWrap/></w:tcPr><w:p><w:pPr/></w:p></w:tc><w:tc><w:tcPr><w:tcW w:w="0" w:type="pct"/><w:noWrap/></w:tcPr><w:p><w:pPr/></w:p></w:tc><w:tc><w:tcPr><w:tcW w:w="16950" w:type="pct"/><w:noWrap/></w:tcPr><w:p><w:pPr/></w:p></w:tc><w:tc><w:tcPr><w:tcW w:w="0" w:type="pct"/><w:noWrap/></w:tcPr><w:p><w:pPr/></w:p></w:tc><w:tc><w:tcPr><w:tcW w:w="21099999999999950" w:type="pct"/><w:noWrap/></w:tcPr><w:p><w:pPr/></w:p></w:tc><w:tc><w:tcPr><w:tcW w:w="0" w:type="pct"/><w:noWrap/></w:tcPr><w:p><w:pP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June 30,</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December 31,</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Leasehold improvements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35,309</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30,531</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Buildings</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4,943</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4,943</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Furniture, computers and equipment</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55,799</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53,959</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20.00000000000003"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2"/><w:szCs w:val="22"/><w:b w:val="0"/><w:bCs w:val="0"/><w:shd w:val="clear" w:fill="rgba(0,0,0,0)"/></w:rPr><w:t xml:space="preserve"> </w:t></w:r><w:r><w:rPr><w:rFonts w:ascii="Times New Roman" w:hAnsi="Times New Roman" w:eastAsia="Times New Roman" w:cs="Times New Roman"/><w:sz w:val="22"/><w:szCs w:val="22"/><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2"/><w:szCs w:val="22"/><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96,051</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89,433</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Accumulated depreciation</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60,600</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57,729</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r><w:trPr><w:trHeight w:val="20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Construction in progress</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57,841</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47,456</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w:szCs w:val="2"/><w:b w:val="0"/><w:bCs w:val="0"/><w:shd w:val="clear" w:fill="rgba(207,240,252,1)"/></w:rPr><w:t xml:space="preserve"> </w:t></w:r><w:r><w:rPr><w:rFonts w:ascii="Times New Roman" w:hAnsi="Times New Roman" w:eastAsia="Times New Roman" w:cs="Times New Roman"/><w:sz w:val="2"/><w:szCs w:val="2"/><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93,292</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center"/><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79,160</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40" w:after="0" w:line="276" w:lineRule="auto"/></w:pPr><w:r><w:rPr><w:rFonts w:ascii="Times New Roman" w:hAnsi="Times New Roman" w:eastAsia="Times New Roman" w:cs="Times New Roman"/><w:color w:val="rgba(0,0,0,1)"/><w:sz w:val="20"/><w:szCs w:val="20"/><w:b w:val="0"/><w:bCs w:val="0"/><w:shd w:val="clear" w:fill="rgba(0,0,0,0)"/></w:rPr><w:t xml:space="preserve">Depreciation expense was $</w:t></w:r><w:r><w:rPr><w:rFonts w:ascii="Times New Roman" w:hAnsi="Times New Roman" w:eastAsia="Times New Roman" w:cs="Times New Roman"/><w:color w:val="rgba(0,0,0,1)"/><w:sz w:val="20"/><w:szCs w:val="20"/><w:b w:val="0"/><w:bCs w:val="0"/><w:shd w:val="clear" w:fill="rgba(0,0,0,0)"/></w:rPr><w:t xml:space="preserve">1,528</w:t></w:r><w:r><w:rPr><w:rFonts w:ascii="Times New Roman" w:hAnsi="Times New Roman" w:eastAsia="Times New Roman" w:cs="Times New Roman"/><w:color w:val="rgba(0,0,0,1)"/><w:sz w:val="20"/><w:szCs w:val="20"/><w:b w:val="0"/><w:bCs w:val="0"/><w:shd w:val="clear" w:fill="rgba(0,0,0,0)"/></w:rPr><w:t xml:space="preserve"> and $</w:t></w:r><w:r><w:rPr><w:rFonts w:ascii="Times New Roman" w:hAnsi="Times New Roman" w:eastAsia="Times New Roman" w:cs="Times New Roman"/><w:color w:val="rgba(0,0,0,1)"/><w:sz w:val="20"/><w:szCs w:val="20"/><w:b w:val="0"/><w:bCs w:val="0"/><w:shd w:val="clear" w:fill="rgba(0,0,0,0)"/></w:rPr><w:t xml:space="preserve">1,063</w:t></w:r><w:r><w:rPr><w:rFonts w:ascii="Times New Roman" w:hAnsi="Times New Roman" w:eastAsia="Times New Roman" w:cs="Times New Roman"/><w:color w:val="rgba(0,0,0,1)"/><w:sz w:val="20"/><w:szCs w:val="20"/><w:b w:val="0"/><w:bCs w:val="0"/><w:shd w:val="clear" w:fill="rgba(0,0,0,0)"/></w:rPr><w:t xml:space="preserve"> for the three months ended June 30, 2022 and 2021. Depreciation expense was $</w:t></w:r><w:r><w:rPr><w:rFonts w:ascii="Times New Roman" w:hAnsi="Times New Roman" w:eastAsia="Times New Roman" w:cs="Times New Roman"/><w:color w:val="rgba(0,0,0,1)"/><w:sz w:val="20"/><w:szCs w:val="20"/><w:b w:val="0"/><w:bCs w:val="0"/><w:shd w:val="clear" w:fill="rgba(0,0,0,0)"/></w:rPr><w:t xml:space="preserve">2,875</w:t></w:r><w:r><w:rPr><w:rFonts w:ascii="Times New Roman" w:hAnsi="Times New Roman" w:eastAsia="Times New Roman" w:cs="Times New Roman"/><w:color w:val="rgba(0,0,0,1)"/><w:sz w:val="20"/><w:szCs w:val="20"/><w:b w:val="0"/><w:bCs w:val="0"/><w:shd w:val="clear" w:fill="rgba(0,0,0,0)"/></w:rPr><w:t xml:space="preserve"> and $</w:t></w:r><w:r><w:rPr><w:rFonts w:ascii="Times New Roman" w:hAnsi="Times New Roman" w:eastAsia="Times New Roman" w:cs="Times New Roman"/><w:color w:val="rgba(0,0,0,1)"/><w:sz w:val="20"/><w:szCs w:val="20"/><w:b w:val="0"/><w:bCs w:val="0"/><w:shd w:val="clear" w:fill="rgba(0,0,0,0)"/></w:rPr><w:t xml:space="preserve">2,073</w:t></w:r><w:r><w:rPr><w:rFonts w:ascii="Times New Roman" w:hAnsi="Times New Roman" w:eastAsia="Times New Roman" w:cs="Times New Roman"/><w:color w:val="rgba(0,0,0,1)"/><w:sz w:val="20"/><w:szCs w:val="20"/><w:b w:val="0"/><w:bCs w:val="0"/><w:shd w:val="clear" w:fill="rgba(0,0,0,0)"/></w:rPr><w:t xml:space="preserve"> for the six months ended June 30, 2022 and 2021. Construction in progress primarily represents unfinished construction work on a purchased building located on the Company’s Canton, Massachusetts campus and improvements at the Company’s leased facilities in Canton and Norwood, Massachusetts.</w:t></w:r><w:r><w:rPr><w:rFonts w:ascii="Times New Roman" w:hAnsi="Times New Roman" w:eastAsia="Times New Roman" w:cs="Times New Roman"/><w:color w:val="rgba(0,0,0,1)"/><w:sz w:val="20"/><w:szCs w:val="20"/><w:b w:val="0"/><w:bCs w:val="0"/></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shd w:val="clear" w:fill="rgba(0,0,0,0)"/></w:rPr><w:t xml:space="preserve">10. Goodwill and Intangible Assets</w:t></w:r><w:r><w:rPr><w:rFonts w:ascii="Times New Roman" w:hAnsi="Times New Roman" w:eastAsia="Times New Roman" w:cs="Times New Roman"/><w:color w:val="rgba(0,0,0,1)"/><w:sz w:val="20"/><w:szCs w:val="20"/><w:b w:val="1"/><w:b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Goodwill was $</w:t></w:r><w:r><w:rPr><w:rFonts w:ascii="Times New Roman" w:hAnsi="Times New Roman" w:eastAsia="Times New Roman" w:cs="Times New Roman"/><w:color w:val="rgba(0,0,0,1)"/><w:sz w:val="20"/><w:szCs w:val="20"/><w:b w:val="0"/><w:bCs w:val="0"/><w:shd w:val="clear" w:fill="rgba(0,0,0,0)"/></w:rPr><w:t xml:space="preserve">28,772</w:t></w:r><w:r><w:rPr><w:rFonts w:ascii="Times New Roman" w:hAnsi="Times New Roman" w:eastAsia="Times New Roman" w:cs="Times New Roman"/><w:color w:val="rgba(0,0,0,1)"/><w:sz w:val="20"/><w:szCs w:val="20"/><w:b w:val="0"/><w:bCs w:val="0"/><w:shd w:val="clear" w:fill="rgba(0,0,0,0)"/></w:rPr><w:t xml:space="preserve"> as of June 30, 2022 and December 31, 2021.</w:t></w:r><w:r><w:rPr><w:rFonts w:ascii="Times New Roman" w:hAnsi="Times New Roman" w:eastAsia="Times New Roman" w:cs="Times New Roman"/><w:color w:val="rgba(0,0,0,1)"/><w:sz w:val="20"/><w:szCs w:val="20"/><w:b w:val="0"/><w:bCs w:val="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Identifiable intangible assets consisted of the following as of June 30, 2022:</w:t></w:r><w:r><w:rPr><w:rFonts w:ascii="Times New Roman" w:hAnsi="Times New Roman" w:eastAsia="Times New Roman" w:cs="Times New Roman"/><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24750" w:type="dxa"/><w:gridCol w:w="13200" w:type="dxa"/><w:gridCol w:w="0" w:type="dxa"/><w:gridCol w:w="6499999999999950" w:type="dxa"/><w:gridCol w:w="0" w:type="dxa"/><w:gridCol w:w="7400" w:type="dxa"/><w:gridCol w:w="0" w:type="dxa"/><w:gridCol w:w="34249999999999950" w:type="dxa"/><w:gridCol w:w="0" w:type="dxa"/><w:gridCol w:w="7400" w:type="dxa"/><w:gridCol w:w="0" w:type="dxa"/><w:gridCol w:w="6499999999999950" w:type="dxa"/><w:gridCol w:w="0" w:type="dxa"/></w:tblGrid><w:tblPr><w:tblW w:w="0" w:type="pct"/><w:tblLayout w:type="autofit"/></w:tblPr><w:tr><w:trPr/><w:tc><w:tcPr><w:tcW w:w="24750" w:type="pct"/><w:noWrap/></w:tcPr><w:p><w:pPr/></w:p></w:tc><w:tc><w:tcPr><w:tcW w:w="13200" w:type="pct"/><w:noWrap/></w:tcPr><w:p><w:pPr/></w:p></w:tc><w:tc><w:tcPr><w:tcW w:w="0" w:type="pct"/><w:noWrap/></w:tcPr><w:p><w:pPr/></w:p></w:tc><w:tc><w:tcPr><w:tcW w:w="6499999999999950" w:type="pct"/><w:noWrap/></w:tcPr><w:p><w:pPr/></w:p></w:tc><w:tc><w:tcPr><w:tcW w:w="0" w:type="pct"/><w:noWrap/></w:tcPr><w:p><w:pPr/></w:p></w:tc><w:tc><w:tcPr><w:tcW w:w="7400" w:type="pct"/><w:noWrap/></w:tcPr><w:p><w:pPr/></w:p></w:tc><w:tc><w:tcPr><w:tcW w:w="0" w:type="pct"/><w:noWrap/></w:tcPr><w:p><w:pPr/></w:p></w:tc><w:tc><w:tcPr><w:tcW w:w="34249999999999950" w:type="pct"/><w:noWrap/></w:tcPr><w:p><w:pPr/></w:p></w:tc><w:tc><w:tcPr><w:tcW w:w="0" w:type="pct"/><w:noWrap/></w:tcPr><w:p><w:pPr/></w:p></w:tc><w:tc><w:tcPr><w:tcW w:w="7400" w:type="pct"/><w:noWrap/></w:tcPr><w:p><w:pPr/></w:p></w:tc><w:tc><w:tcPr><w:tcW w:w="0" w:type="pct"/><w:noWrap/></w:tcPr><w:p><w:pPr/></w:p></w:tc><w:tc><w:tcPr><w:tcW w:w="6499999999999950" w:type="pct"/><w:noWrap/></w:tcPr><w:p><w:pPr/></w:p></w:tc><w:tc><w:tcPr><w:tcW w:w="0" w:type="pct"/><w:noWrap/></w:tcPr><w:p><w:pP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Original</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Accumulated</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Net Book</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Cost</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Amortization</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Value</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Developed technology</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32,620</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19,437</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13,183</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Trade names and trademarks</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2,080</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1,288</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792</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Customer relationships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10,690</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1,915</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8,775</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Independent sales agency network</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4,500</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4,500</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Patent</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7,623</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7,623</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Non-compete agreements</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1,010</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529</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481</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Total</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58,523</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35,292</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23,231</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13</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color w:val="rgba(0,0,0,1)"/><w:sz w:val="20"/><w:szCs w:val="20"/><w:b w:val="0"/><w:bCs w:val="0"/><w:shd w:val="clear" w:fill="rgba(0,0,0,0)"/></w:rPr><w:t xml:space="preserve">Identifiable intangible assets consisted of the following as of December 31, 2021:</w:t></w:r><w:r><w:rPr><w:rFonts w:ascii="Times New Roman" w:hAnsi="Times New Roman" w:eastAsia="Times New Roman" w:cs="Times New Roman"/><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24750" w:type="dxa"/><w:gridCol w:w="13200" w:type="dxa"/><w:gridCol w:w="0" w:type="dxa"/><w:gridCol w:w="6499999999999950" w:type="dxa"/><w:gridCol w:w="0" w:type="dxa"/><w:gridCol w:w="7400" w:type="dxa"/><w:gridCol w:w="0" w:type="dxa"/><w:gridCol w:w="34249999999999950" w:type="dxa"/><w:gridCol w:w="0" w:type="dxa"/><w:gridCol w:w="7400" w:type="dxa"/><w:gridCol w:w="0" w:type="dxa"/><w:gridCol w:w="6499999999999950" w:type="dxa"/><w:gridCol w:w="0" w:type="dxa"/></w:tblGrid><w:tblPr><w:tblW w:w="0" w:type="pct"/><w:tblLayout w:type="autofit"/></w:tblPr><w:tr><w:trPr/><w:tc><w:tcPr><w:tcW w:w="24750" w:type="pct"/><w:noWrap/></w:tcPr><w:p><w:pPr/></w:p></w:tc><w:tc><w:tcPr><w:tcW w:w="13200" w:type="pct"/><w:noWrap/></w:tcPr><w:p><w:pPr/></w:p></w:tc><w:tc><w:tcPr><w:tcW w:w="0" w:type="pct"/><w:noWrap/></w:tcPr><w:p><w:pPr/></w:p></w:tc><w:tc><w:tcPr><w:tcW w:w="6499999999999950" w:type="pct"/><w:noWrap/></w:tcPr><w:p><w:pPr/></w:p></w:tc><w:tc><w:tcPr><w:tcW w:w="0" w:type="pct"/><w:noWrap/></w:tcPr><w:p><w:pPr/></w:p></w:tc><w:tc><w:tcPr><w:tcW w:w="7400" w:type="pct"/><w:noWrap/></w:tcPr><w:p><w:pPr/></w:p></w:tc><w:tc><w:tcPr><w:tcW w:w="0" w:type="pct"/><w:noWrap/></w:tcPr><w:p><w:pPr/></w:p></w:tc><w:tc><w:tcPr><w:tcW w:w="34249999999999950" w:type="pct"/><w:noWrap/></w:tcPr><w:p><w:pPr/></w:p></w:tc><w:tc><w:tcPr><w:tcW w:w="0" w:type="pct"/><w:noWrap/></w:tcPr><w:p><w:pPr/></w:p></w:tc><w:tc><w:tcPr><w:tcW w:w="7400" w:type="pct"/><w:noWrap/></w:tcPr><w:p><w:pPr/></w:p></w:tc><w:tc><w:tcPr><w:tcW w:w="0" w:type="pct"/><w:noWrap/></w:tcPr><w:p><w:pPr/></w:p></w:tc><w:tc><w:tcPr><w:tcW w:w="6499999999999950" w:type="pct"/><w:noWrap/></w:tcPr><w:p><w:pPr/></w:p></w:tc><w:tc><w:tcPr><w:tcW w:w="0" w:type="pct"/><w:noWrap/></w:tcPr><w:p><w:pP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Original</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Accumulated</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Net Book</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Cost</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Amortization</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Value</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Developed technology</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32,620</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17,709</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14,911</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Trade names and trademarks</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2,080</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1,183</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897</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Customer relationship</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10,690</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1,381</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9,309</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Independent sales agency network</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4,500</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4,500</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Patent</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7,623</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7,623</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Non-compete agreements</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1,010</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454</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556</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Total</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58,523</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32,850</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25,673</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color w:val="rgba(0,0,0,1)"/><w:sz w:val="20"/><w:szCs w:val="20"/><w:b w:val="0"/><w:bCs w:val="0"/><w:shd w:val="clear" w:fill="rgba(0,0,0,0)"/></w:rPr><w:t xml:space="preserve">Amortization of intangible assets, calculated on a straight-line basis or using an accelerated method, w</w:t></w:r><w:r><w:rPr><w:rFonts w:ascii="Times New Roman" w:hAnsi="Times New Roman" w:eastAsia="Times New Roman" w:cs="Times New Roman"/><w:color w:val="rgba(0,0,0,1)"/><w:sz w:val="20"/><w:szCs w:val="20"/><w:b w:val="0"/><w:bCs w:val="0"/><w:shd w:val="clear" w:fill="rgba(0,0,0,0)"/></w:rPr><w:t xml:space="preserve">as $</w:t></w:r><w:r><w:rPr><w:rFonts w:ascii="Times New Roman" w:hAnsi="Times New Roman" w:eastAsia="Times New Roman" w:cs="Times New Roman"/><w:color w:val="rgba(0,0,0,1)"/><w:sz w:val="20"/><w:szCs w:val="20"/><w:b w:val="0"/><w:bCs w:val="0"/><w:shd w:val="clear" w:fill="rgba(0,0,0,0)"/></w:rPr><w:t xml:space="preserve">1,221</w:t></w:r><w:r><w:rPr><w:rFonts w:ascii="Times New Roman" w:hAnsi="Times New Roman" w:eastAsia="Times New Roman" w:cs="Times New Roman"/><w:color w:val="rgba(0,0,0,1)"/><w:sz w:val="20"/><w:szCs w:val="20"/><w:b w:val="0"/><w:bCs w:val="0"/><w:shd w:val="clear" w:fill="rgba(0,0,0,0)"/></w:rPr><w:t xml:space="preserve"> and $</w:t></w:r><w:r><w:rPr><w:rFonts w:ascii="Times New Roman" w:hAnsi="Times New Roman" w:eastAsia="Times New Roman" w:cs="Times New Roman"/><w:color w:val="rgba(0,0,0,1)"/><w:sz w:val="20"/><w:szCs w:val="20"/><w:b w:val="0"/><w:bCs w:val="0"/><w:shd w:val="clear" w:fill="rgba(0,0,0,0)"/></w:rPr><w:t xml:space="preserve">1,243</w:t></w:r><w:r><w:rPr><w:rFonts w:ascii="Times New Roman" w:hAnsi="Times New Roman" w:eastAsia="Times New Roman" w:cs="Times New Roman"/><w:color w:val="rgba(0,0,0,1)"/><w:sz w:val="20"/><w:szCs w:val="20"/><w:b w:val="0"/><w:bCs w:val="0"/><w:shd w:val="clear" w:fill="rgba(0,0,0,0)"/></w:rPr><w:t xml:space="preserve"> for the three months ended June 30, 2022 and 2021, respectively, and $</w:t></w:r><w:r><w:rPr><w:rFonts w:ascii="Times New Roman" w:hAnsi="Times New Roman" w:eastAsia="Times New Roman" w:cs="Times New Roman"/><w:color w:val="rgba(0,0,0,1)"/><w:sz w:val="20"/><w:szCs w:val="20"/><w:b w:val="0"/><w:bCs w:val="0"/><w:shd w:val="clear" w:fill="rgba(0,0,0,0)"/></w:rPr><w:t xml:space="preserve">2,442</w:t></w:r><w:r><w:rPr><w:rFonts w:ascii="Times New Roman" w:hAnsi="Times New Roman" w:eastAsia="Times New Roman" w:cs="Times New Roman"/><w:color w:val="rgba(0,0,0,1)"/><w:sz w:val="20"/><w:szCs w:val="20"/><w:b w:val="0"/><w:bCs w:val="0"/><w:shd w:val="clear" w:fill="rgba(0,0,0,0)"/></w:rPr><w:t xml:space="preserve"> and $</w:t></w:r><w:r><w:rPr><w:rFonts w:ascii="Times New Roman" w:hAnsi="Times New Roman" w:eastAsia="Times New Roman" w:cs="Times New Roman"/><w:color w:val="rgba(0,0,0,1)"/><w:sz w:val="20"/><w:szCs w:val="20"/><w:b w:val="0"/><w:bCs w:val="0"/><w:shd w:val="clear" w:fill="rgba(0,0,0,0)"/></w:rPr><w:t xml:space="preserve">2,486</w:t></w:r><w:r><w:rPr><w:rFonts w:ascii="Times New Roman" w:hAnsi="Times New Roman" w:eastAsia="Times New Roman" w:cs="Times New Roman"/><w:color w:val="rgba(0,0,0,1)"/><w:sz w:val="20"/><w:szCs w:val="20"/><w:b w:val="0"/><w:bCs w:val="0"/><w:shd w:val="clear" w:fill="rgba(0,0,0,0)"/></w:rPr><w:t xml:space="preserve"> for the six months ended June 30, 2022 and 2021, respectively</w:t></w:r><w:r><w:rPr><w:rFonts w:ascii="Times New Roman" w:hAnsi="Times New Roman" w:eastAsia="Times New Roman" w:cs="Times New Roman"/><w:color w:val="rgba(0,0,0,1)"/><w:sz w:val="20"/><w:szCs w:val="20"/><w:b w:val="0"/><w:bCs w:val="0"/><w:shd w:val="clear" w:fill="rgba(0,0,0,0)"/></w:rPr><w:t xml:space="preserve">.</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shd w:val="clear" w:fill="rgba(0,0,0,0)"/></w:rPr><w:t xml:space="preserve">11. Accrued Expenses and Other Current Liabilities</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Accrued expenses and other current liabilities consisted of the following:</w:t></w:r><w:r><w:rPr><w:rFonts w:ascii="Times New Roman" w:hAnsi="Times New Roman" w:eastAsia="Times New Roman" w:cs="Times New Roman"/><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2400" w:type="dxa"/><w:gridCol w:w="22950" w:type="dxa"/><w:gridCol w:w="0" w:type="dxa"/><w:gridCol w:w="19900" w:type="dxa"/><w:gridCol w:w="0" w:type="dxa"/><w:gridCol w:w="16300" w:type="dxa"/><w:gridCol w:w="0" w:type="dxa"/><w:gridCol w:w="3850" w:type="dxa"/><w:gridCol w:w="0" w:type="dxa"/></w:tblGrid><w:tblPr><w:tblW w:w="0" w:type="pct"/><w:tblLayout w:type="autofit"/></w:tblPr><w:tr><w:trPr/><w:tc><w:tcPr><w:tcW w:w="2400" w:type="pct"/><w:noWrap/></w:tcPr><w:p><w:pPr/></w:p></w:tc><w:tc><w:tcPr><w:tcW w:w="22950" w:type="pct"/><w:noWrap/></w:tcPr><w:p><w:pPr/></w:p></w:tc><w:tc><w:tcPr><w:tcW w:w="0" w:type="pct"/><w:noWrap/></w:tcPr><w:p><w:pPr/></w:p></w:tc><w:tc><w:tcPr><w:tcW w:w="19900" w:type="pct"/><w:noWrap/></w:tcPr><w:p><w:pPr/></w:p></w:tc><w:tc><w:tcPr><w:tcW w:w="0" w:type="pct"/><w:noWrap/></w:tcPr><w:p><w:pPr/></w:p></w:tc><w:tc><w:tcPr><w:tcW w:w="16300" w:type="pct"/><w:noWrap/></w:tcPr><w:p><w:pPr/></w:p></w:tc><w:tc><w:tcPr><w:tcW w:w="0" w:type="pct"/><w:noWrap/></w:tcPr><w:p><w:pPr/></w:p></w:tc><w:tc><w:tcPr><w:tcW w:w="3850" w:type="pct"/><w:noWrap/></w:tcPr><w:p><w:pPr/></w:p></w:tc><w:tc><w:tcPr><w:tcW w:w="0" w:type="pct"/><w:noWrap/></w:tcPr><w:p><w:pP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June 30,</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December 31,</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Personnel costs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22,101</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26,865</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Royalties</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3,696</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3,458</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Accrued but unpaid lease obligations and interest</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3,476</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3,963</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20.00000000000003"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Accrued settlement fee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3,300</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2"/><w:szCs w:val="22"/><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2"/><w:szCs w:val="22"/><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2"/><w:szCs w:val="22"/><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Other</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3,817</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2,303</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w:szCs w:val="2"/><w:b w:val="0"/><w:bCs w:val="0"/><w:shd w:val="clear" w:fill="rgba(0,0,0,0)"/></w:rPr><w:t xml:space="preserve"> </w:t></w:r><w:r><w:rPr><w:rFonts w:ascii="Times New Roman" w:hAnsi="Times New Roman" w:eastAsia="Times New Roman" w:cs="Times New Roman"/><w:sz w:val="2"/><w:szCs w:val="2"/><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w:szCs w:val="2"/><w:shd w:val="clear" w:fill="rgba(0,0,0,0)"/></w:rPr><w:t xml:space="preserve"> </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36,390</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w:szCs w:val="2"/><w:shd w:val="clear" w:fill="rgba(0,0,0,0)"/></w:rPr><w:t xml:space="preserve"> </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36,589</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bl><w:p><w:pPr><w:jc w:val="start"/><w:ind w:left="0" w:right="0" w:firstLine="0" w:hanging="0"/><w:spacing w:before="360" w:after="0" w:line="276" w:lineRule="auto"/></w:pPr><w:r><w:rPr><w:rFonts w:ascii="Times New Roman" w:hAnsi="Times New Roman" w:eastAsia="Times New Roman" w:cs="Times New Roman"/><w:color w:val="rgba(0,0,0,1)"/><w:sz w:val="20"/><w:szCs w:val="20"/><w:b w:val="0"/><w:bCs w:val="0"/><w:shd w:val="clear" w:fill="rgba(0,0,0,0)"/></w:rPr><w:t xml:space="preserve">The accrued but unpaid lease obligations and the interest accrual on these obligations are related to the buildings in Canton, Massachusetts. See Note “17. Leases”. See Note "4. Product and Geographic Sales" for accrued settlement fee.</w:t></w:r><w:r><w:rPr><w:rFonts w:ascii="Times New Roman" w:hAnsi="Times New Roman" w:eastAsia="Times New Roman" w:cs="Times New Roman"/><w:color w:val="rgba(0,0,0,1)"/><w:sz w:val="20"/><w:szCs w:val="20"/><w:b w:val="1"/><w:bCs w:val="1"/></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shd w:val="clear" w:fill="rgba(0,0,0,0)"/></w:rPr><w:t xml:space="preserve">12. Restructuring</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In order to reduce the Company’s cost structure and achieve operating efficiency, the Company is consolidating its manufacturing operations in various locations into Massachusetts facilities.</w:t></w:r><w:r><w:rPr><w:rFonts w:ascii="Times New Roman" w:hAnsi="Times New Roman" w:eastAsia="Times New Roman" w:cs="Times New Roman"/><w:color w:val="rgba(0,0,0,1)"/><w:sz w:val="20"/><w:szCs w:val="20"/><w:b w:val="0"/><w:bCs w:val="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On October 21, 2020, the Company committed to a plan to restructure the workforce and operations in its La Jolla, California facilities. The restructuring involved approximately </w:t></w:r><w:r><w:rPr><w:rFonts w:ascii="Times New Roman" w:hAnsi="Times New Roman" w:eastAsia="Times New Roman" w:cs="Times New Roman"/><w:color w:val="rgba(0,0,0,1)"/><w:sz w:val="20"/><w:szCs w:val="20"/><w:b w:val="0"/><w:bCs w:val="0"/><w:shd w:val="clear" w:fill="rgba(0,0,0,0)"/></w:rPr><w:t xml:space="preserve">65</w:t></w:r><w:r><w:rPr><w:rFonts w:ascii="Times New Roman" w:hAnsi="Times New Roman" w:eastAsia="Times New Roman" w:cs="Times New Roman"/><w:color w:val="rgba(0,0,0,1)"/><w:sz w:val="20"/><w:szCs w:val="20"/><w:b w:val="0"/><w:bCs w:val="0"/><w:shd w:val="clear" w:fill="rgba(0,0,0,0)"/></w:rPr><w:t xml:space="preserve"> employees and was substantially completed as of December 31, 2021, with certain facility and storage activities continuing through 2024.</w:t></w:r><w:r><w:rPr><w:rFonts w:ascii="Times New Roman" w:hAnsi="Times New Roman" w:eastAsia="Times New Roman" w:cs="Times New Roman"/><w:color w:val="rgba(0,0,0,1)"/><w:sz w:val="20"/><w:szCs w:val="20"/><w:b w:val="0"/><w:bCs w:val="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On March 9, 2022, the Company committed to a plan to restructure the workforce and operations in its Birmingham, Alabama facilities. The restructuring is expected to be completed by the end of 2022 and will result in a charge of approximately $</w:t></w:r><w:r><w:rPr><w:rFonts w:ascii="Times New Roman" w:hAnsi="Times New Roman" w:eastAsia="Times New Roman" w:cs="Times New Roman"/><w:color w:val="rgba(0,0,0,1)"/><w:sz w:val="20"/><w:szCs w:val="20"/><w:b w:val="0"/><w:bCs w:val="0"/><w:shd w:val="clear" w:fill="rgba(0,0,0,0)"/></w:rPr><w:t xml:space="preserve">3.0</w:t></w:r><w:r><w:rPr><w:rFonts w:ascii="Times New Roman" w:hAnsi="Times New Roman" w:eastAsia="Times New Roman" w:cs="Times New Roman"/><w:color w:val="rgba(0,0,0,1)"/><w:sz w:val="20"/><w:szCs w:val="20"/><w:b w:val="0"/><w:bCs w:val="0"/><w:shd w:val="clear" w:fill="rgba(0,0,0,0)"/></w:rPr><w:t xml:space="preserve"> million, of which approximately $</w:t></w:r><w:r><w:rPr><w:rFonts w:ascii="Times New Roman" w:hAnsi="Times New Roman" w:eastAsia="Times New Roman" w:cs="Times New Roman"/><w:color w:val="rgba(0,0,0,1)"/><w:sz w:val="20"/><w:szCs w:val="20"/><w:b w:val="0"/><w:bCs w:val="0"/><w:shd w:val="clear" w:fill="rgba(0,0,0,0)"/></w:rPr><w:t xml:space="preserve">2.0</w:t></w:r><w:r><w:rPr><w:rFonts w:ascii="Times New Roman" w:hAnsi="Times New Roman" w:eastAsia="Times New Roman" w:cs="Times New Roman"/><w:color w:val="rgba(0,0,0,1)"/><w:sz w:val="20"/><w:szCs w:val="20"/><w:b w:val="0"/><w:bCs w:val="0"/><w:shd w:val="clear" w:fill="rgba(0,0,0,0)"/></w:rPr><w:t xml:space="preserve"> million is attributable to the retention benefits associated with approximately </w:t></w:r><w:r><w:rPr><w:rFonts w:ascii="Times New Roman" w:hAnsi="Times New Roman" w:eastAsia="Times New Roman" w:cs="Times New Roman"/><w:color w:val="rgba(0,0,0,1)"/><w:sz w:val="20"/><w:szCs w:val="20"/><w:b w:val="0"/><w:bCs w:val="0"/><w:shd w:val="clear" w:fill="rgba(0,0,0,0)"/></w:rPr><w:t xml:space="preserve">25</w:t></w:r><w:r><w:rPr><w:rFonts w:ascii="Times New Roman" w:hAnsi="Times New Roman" w:eastAsia="Times New Roman" w:cs="Times New Roman"/><w:color w:val="rgba(0,0,0,1)"/><w:sz w:val="20"/><w:szCs w:val="20"/><w:b w:val="0"/><w:bCs w:val="0"/><w:shd w:val="clear" w:fill="rgba(0,0,0,0)"/></w:rPr><w:t xml:space="preserve"> employees and the remaining $</w:t></w:r><w:r><w:rPr><w:rFonts w:ascii="Times New Roman" w:hAnsi="Times New Roman" w:eastAsia="Times New Roman" w:cs="Times New Roman"/><w:color w:val="rgba(0,0,0,1)"/><w:sz w:val="20"/><w:szCs w:val="20"/><w:b w:val="0"/><w:bCs w:val="0"/><w:shd w:val="clear" w:fill="rgba(0,0,0,0)"/></w:rPr><w:t xml:space="preserve">1.0</w:t></w:r><w:r><w:rPr><w:rFonts w:ascii="Times New Roman" w:hAnsi="Times New Roman" w:eastAsia="Times New Roman" w:cs="Times New Roman"/><w:color w:val="rgba(0,0,0,1)"/><w:sz w:val="20"/><w:szCs w:val="20"/><w:b w:val="0"/><w:bCs w:val="0"/><w:shd w:val="clear" w:fill="rgba(0,0,0,0)"/></w:rPr><w:t xml:space="preserve"> million is related to the other exit activities, including but not limited to contract termination, decommission and transportation of certain fixed assets. As employees are required to provide future services, employee retention and other benefit-related costs are expensed over the service period.</w:t></w:r><w:r><w:rPr><w:rFonts w:ascii="Times New Roman" w:hAnsi="Times New Roman" w:eastAsia="Times New Roman" w:cs="Times New Roman"/><w:color w:val="rgba(0,0,0,1)"/><w:sz w:val="20"/><w:szCs w:val="20"/><w:b w:val="0"/><w:bCs w:val="0"/></w:rPr><w:t xml:space="preserve"> </w:t></w:r></w:p><w:p><w:pPr><w:jc w:val="center"/><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14</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As a result of the restructuring activiti</w:t></w:r><w:r><w:rPr><w:rFonts w:ascii="Times New Roman" w:hAnsi="Times New Roman" w:eastAsia="Times New Roman" w:cs="Times New Roman"/><w:color w:val="rgba(0,0,0,1)"/><w:sz w:val="20"/><w:szCs w:val="20"/><w:b w:val="0"/><w:bCs w:val="0"/><w:shd w:val="clear" w:fill="rgba(0,0,0,0)"/></w:rPr><w:t xml:space="preserve">es, the Company incurred a pre-tax charge of $</w:t></w:r><w:r><w:rPr><w:rFonts w:ascii="Times New Roman" w:hAnsi="Times New Roman" w:eastAsia="Times New Roman" w:cs="Times New Roman"/><w:color w:val="rgba(0,0,0,1)"/><w:sz w:val="20"/><w:szCs w:val="20"/><w:b w:val="0"/><w:bCs w:val="0"/><w:shd w:val="clear" w:fill="rgba(0,0,0,0)"/></w:rPr><w:t xml:space="preserve">643</w:t></w:r><w:r><w:rPr><w:rFonts w:ascii="Times New Roman" w:hAnsi="Times New Roman" w:eastAsia="Times New Roman" w:cs="Times New Roman"/><w:color w:val="rgba(0,0,0,1)"/><w:sz w:val="20"/><w:szCs w:val="20"/><w:b w:val="0"/><w:bCs w:val="0"/><w:shd w:val="clear" w:fill="rgba(0,0,0,0)"/></w:rPr><w:t xml:space="preserve"> and $</w:t></w:r><w:r><w:rPr><w:rFonts w:ascii="Times New Roman" w:hAnsi="Times New Roman" w:eastAsia="Times New Roman" w:cs="Times New Roman"/><w:color w:val="rgba(0,0,0,1)"/><w:sz w:val="20"/><w:szCs w:val="20"/><w:b w:val="0"/><w:bCs w:val="0"/><w:shd w:val="clear" w:fill="rgba(0,0,0,0)"/></w:rPr><w:t xml:space="preserve">939</w:t></w:r><w:r><w:rPr><w:rFonts w:ascii="Times New Roman" w:hAnsi="Times New Roman" w:eastAsia="Times New Roman" w:cs="Times New Roman"/><w:color w:val="rgba(0,0,0,1)"/><w:sz w:val="20"/><w:szCs w:val="20"/><w:b w:val="0"/><w:bCs w:val="0"/><w:shd w:val="clear" w:fill="rgba(0,0,0,0)"/></w:rPr><w:t xml:space="preserve"> during the three months ended June 30, 2022 and 2021, respectively, and $</w:t></w:r><w:r><w:rPr><w:rFonts w:ascii="Times New Roman" w:hAnsi="Times New Roman" w:eastAsia="Times New Roman" w:cs="Times New Roman"/><w:color w:val="rgba(0,0,0,1)"/><w:sz w:val="20"/><w:szCs w:val="20"/><w:b w:val="0"/><w:bCs w:val="0"/><w:shd w:val="clear" w:fill="rgba(0,0,0,0)"/></w:rPr><w:t xml:space="preserve">907</w:t></w:r><w:r><w:rPr><w:rFonts w:ascii="Times New Roman" w:hAnsi="Times New Roman" w:eastAsia="Times New Roman" w:cs="Times New Roman"/><w:color w:val="rgba(0,0,0,1)"/><w:sz w:val="20"/><w:szCs w:val="20"/><w:b w:val="0"/><w:bCs w:val="0"/><w:shd w:val="clear" w:fill="rgba(0,0,0,0)"/></w:rPr><w:t xml:space="preserve"> and $</w:t></w:r><w:r><w:rPr><w:rFonts w:ascii="Times New Roman" w:hAnsi="Times New Roman" w:eastAsia="Times New Roman" w:cs="Times New Roman"/><w:color w:val="rgba(0,0,0,1)"/><w:sz w:val="20"/><w:szCs w:val="20"/><w:b w:val="0"/><w:bCs w:val="0"/><w:shd w:val="clear" w:fill="rgba(0,0,0,0)"/></w:rPr><w:t xml:space="preserve">1,866</w:t></w:r><w:r><w:rPr><w:rFonts w:ascii="Times New Roman" w:hAnsi="Times New Roman" w:eastAsia="Times New Roman" w:cs="Times New Roman"/><w:color w:val="rgba(0,0,0,1)"/><w:sz w:val="20"/><w:szCs w:val="20"/><w:b w:val="0"/><w:bCs w:val="0"/><w:shd w:val="clear" w:fill="rgba(0,0,0,0)"/></w:rPr><w:t xml:space="preserve"> during the six months ended June 30, 2022 and 2021, respectively. These charges were included in selling, general and administrative e</w:t></w:r><w:r><w:rPr><w:rFonts w:ascii="Times New Roman" w:hAnsi="Times New Roman" w:eastAsia="Times New Roman" w:cs="Times New Roman"/><w:color w:val="rgba(0,0,0,1)"/><w:sz w:val="20"/><w:szCs w:val="20"/><w:b w:val="0"/><w:bCs w:val="0"/><w:shd w:val="clear" w:fill="rgba(0,0,0,0)"/></w:rPr><w:t xml:space="preserve">xpenses in the consolidated statements of operations. The liability related to the restructuring activities was $</w:t></w:r><w:r><w:rPr><w:rFonts w:ascii="Times New Roman" w:hAnsi="Times New Roman" w:eastAsia="Times New Roman" w:cs="Times New Roman"/><w:color w:val="rgba(0,0,0,1)"/><w:sz w:val="20"/><w:szCs w:val="20"/><w:b w:val="0"/><w:bCs w:val="0"/><w:shd w:val="clear" w:fill="rgba(0,0,0,0)"/></w:rPr><w:t xml:space="preserve">661</w:t></w:r><w:r><w:rPr><w:rFonts w:ascii="Times New Roman" w:hAnsi="Times New Roman" w:eastAsia="Times New Roman" w:cs="Times New Roman"/><w:color w:val="rgba(0,0,0,1)"/><w:sz w:val="20"/><w:szCs w:val="20"/><w:b w:val="0"/><w:bCs w:val="0"/><w:shd w:val="clear" w:fill="rgba(0,0,0,0)"/></w:rPr><w:t xml:space="preserve"> and $</w:t></w:r><w:r><w:rPr><w:rFonts w:ascii="Times New Roman" w:hAnsi="Times New Roman" w:eastAsia="Times New Roman" w:cs="Times New Roman"/><w:color w:val="rgba(0,0,0,1)"/><w:sz w:val="20"/><w:szCs w:val="20"/><w:b w:val="0"/><w:bCs w:val="0"/><w:shd w:val="clear" w:fill="rgba(0,0,0,0)"/></w:rPr><w:t xml:space="preserve">3,168</w:t></w:r><w:r><w:rPr><w:rFonts w:ascii="Times New Roman" w:hAnsi="Times New Roman" w:eastAsia="Times New Roman" w:cs="Times New Roman"/><w:color w:val="rgba(0,0,0,1)"/><w:sz w:val="20"/><w:szCs w:val="20"/><w:b w:val="0"/><w:bCs w:val="0"/><w:shd w:val="clear" w:fill="rgba(0,0,0,0)"/></w:rPr><w:t xml:space="preserve"> as of June 30, 2022 and December 31, 2021, respectively, and was included in accrued expenses and other current liabilities in the consolidated balance sheets. </w:t></w:r><w:r><w:rPr><w:rFonts w:ascii="Times New Roman" w:hAnsi="Times New Roman" w:eastAsia="Times New Roman" w:cs="Times New Roman"/><w:color w:val="rgba(0,0,0,1)"/><w:sz w:val="20"/><w:szCs w:val="20"/><w:b w:val="0"/><w:bCs w:val="0"/><w:shd w:val="clear" w:fill="rgba(0,0,0,0)"/></w:rPr><w:t xml:space="preserve">The following table provides a roll-forward of the restructuring liability.</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23700" w:type="dxa"/><w:gridCol w:w="14350" w:type="dxa"/><w:gridCol w:w="0" w:type="dxa"/><w:gridCol w:w="46749999999999950" w:type="dxa"/><w:gridCol w:w="0" w:type="dxa"/><w:gridCol w:w="26250" w:type="dxa"/><w:gridCol w:w="0" w:type="dxa"/><w:gridCol w:w="10900" w:type="dxa"/><w:gridCol w:w="0" w:type="dxa"/><w:gridCol w:w="14350" w:type="dxa"/><w:gridCol w:w="0" w:type="dxa"/><w:gridCol w:w="13600" w:type="dxa"/><w:gridCol w:w="0" w:type="dxa"/></w:tblGrid><w:tblPr><w:tblW w:w="0" w:type="pct"/><w:tblLayout w:type="autofit"/></w:tblPr><w:tr><w:trPr/><w:tc><w:tcPr><w:tcW w:w="23700" w:type="pct"/><w:noWrap/></w:tcPr><w:p><w:pPr/></w:p></w:tc><w:tc><w:tcPr><w:tcW w:w="14350" w:type="pct"/><w:noWrap/></w:tcPr><w:p><w:pPr/></w:p></w:tc><w:tc><w:tcPr><w:tcW w:w="0" w:type="pct"/><w:noWrap/></w:tcPr><w:p><w:pPr/></w:p></w:tc><w:tc><w:tcPr><w:tcW w:w="46749999999999950" w:type="pct"/><w:noWrap/></w:tcPr><w:p><w:pPr/></w:p></w:tc><w:tc><w:tcPr><w:tcW w:w="0" w:type="pct"/><w:noWrap/></w:tcPr><w:p><w:pPr/></w:p></w:tc><w:tc><w:tcPr><w:tcW w:w="26250" w:type="pct"/><w:noWrap/></w:tcPr><w:p><w:pPr/></w:p></w:tc><w:tc><w:tcPr><w:tcW w:w="0" w:type="pct"/><w:noWrap/></w:tcPr><w:p><w:pPr/></w:p></w:tc><w:tc><w:tcPr><w:tcW w:w="10900" w:type="pct"/><w:noWrap/></w:tcPr><w:p><w:pPr/></w:p></w:tc><w:tc><w:tcPr><w:tcW w:w="0" w:type="pct"/><w:noWrap/></w:tcPr><w:p><w:pPr/></w:p></w:tc><w:tc><w:tcPr><w:tcW w:w="14350" w:type="pct"/><w:noWrap/></w:tcPr><w:p><w:pPr/></w:p></w:tc><w:tc><w:tcPr><w:tcW w:w="0" w:type="pct"/><w:noWrap/></w:tcPr><w:p><w:pPr/></w:p></w:tc><w:tc><w:tcPr><w:tcW w:w="13600" w:type="pct"/><w:noWrap/></w:tcPr><w:p><w:pPr/></w:p></w:tc><w:tc><w:tcPr><w:tcW w:w="0" w:type="pct"/><w:noWrap/></w:tcPr><w:p><w:pPr/></w:p></w:tc></w:tr><w:tr><w:trPr><w:trHeight w:val="16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Employee</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Other</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2"/><w:szCs w:val="22"/><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Total</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Liability balance as of March 31, 2022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115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17</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2"/><w:szCs w:val="22"/><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132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Expenses</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523</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120</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2"/><w:szCs w:val="22"/><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643</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Payments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114</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2"/><w:szCs w:val="22"/><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114</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Liability balance as of June 30, 2022</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638</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23</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2"/><w:szCs w:val="22"/><w:shd w:val="clear" w:fill="rgba(0,0,0,0)"/></w:rPr><w:t xml:space="preserve"> </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661</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16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Employee</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Other</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2"/><w:szCs w:val="22"/><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Total</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Liability balance as of December 31, 2021</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2,517</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651</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2"/><w:szCs w:val="22"/><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3,168</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Expenses</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638</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269</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2"/><w:szCs w:val="22"/><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907</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Payments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2,517</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897</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2"/><w:szCs w:val="22"/><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3,414</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Liability balance as of June 30, 2022</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638</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23</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2"/><w:szCs w:val="22"/><w:shd w:val="clear" w:fill="rgba(0,0,0,0)"/></w:rPr><w:t xml:space="preserve"> </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661</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shd w:val="clear" w:fill="rgba(0,0,0,0)"/></w:rPr><w:t xml:space="preserve">13. Long-Term Debt Obligations</w:t></w:r><w:r><w:rPr><w:rFonts w:ascii="Times New Roman" w:hAnsi="Times New Roman" w:eastAsia="Times New Roman" w:cs="Times New Roman"/><w:color w:val="rgba(0,0,0,1)"/><w:sz w:val="20"/><w:szCs w:val="20"/><w:b w:val="1"/><w:b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Long-term debt obligations consisted of the following:</w:t></w:r><w:r><w:rPr><w:rFonts w:ascii="Times New Roman" w:hAnsi="Times New Roman" w:eastAsia="Times New Roman" w:cs="Times New Roman"/><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49750" w:type="dxa"/><w:gridCol w:w="23600" w:type="dxa"/><w:gridCol w:w="0" w:type="dxa"/><w:gridCol w:w="19250" w:type="dxa"/><w:gridCol w:w="0" w:type="dxa"/><w:gridCol w:w="1700" w:type="dxa"/><w:gridCol w:w="0" w:type="dxa"/><w:gridCol w:w="40499999999999950" w:type="dxa"/><w:gridCol w:w="0" w:type="dxa"/></w:tblGrid><w:tblPr><w:tblW w:w="0" w:type="pct"/><w:tblLayout w:type="autofit"/></w:tblPr><w:tr><w:trPr/><w:tc><w:tcPr><w:tcW w:w="49750" w:type="pct"/><w:noWrap/></w:tcPr><w:p><w:pPr/></w:p></w:tc><w:tc><w:tcPr><w:tcW w:w="23600" w:type="pct"/><w:noWrap/></w:tcPr><w:p><w:pPr/></w:p></w:tc><w:tc><w:tcPr><w:tcW w:w="0" w:type="pct"/><w:noWrap/></w:tcPr><w:p><w:pPr/></w:p></w:tc><w:tc><w:tcPr><w:tcW w:w="19250" w:type="pct"/><w:noWrap/></w:tcPr><w:p><w:pPr/></w:p></w:tc><w:tc><w:tcPr><w:tcW w:w="0" w:type="pct"/><w:noWrap/></w:tcPr><w:p><w:pPr/></w:p></w:tc><w:tc><w:tcPr><w:tcW w:w="1700" w:type="pct"/><w:noWrap/></w:tcPr><w:p><w:pPr/></w:p></w:tc><w:tc><w:tcPr><w:tcW w:w="0" w:type="pct"/><w:noWrap/></w:tcPr><w:p><w:pPr/></w:p></w:tc><w:tc><w:tcPr><w:tcW w:w="40499999999999950" w:type="pct"/><w:noWrap/></w:tcPr><w:p><w:pPr/></w:p></w:tc><w:tc><w:tcPr><w:tcW w:w="0" w:type="pct"/><w:noWrap/></w:tcPr><w:p><w:pP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June 30,</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December 31,</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Line of credit</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Term loan</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73,125</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74,062</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Less debt discount and debt issuance cost</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560</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637</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r><w:trPr><w:trHeight w:val="20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Term loan, net of debt discount and debt issuance cost</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72,565</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w:szCs w:val="2"/><w:shd w:val="clear" w:fill="rgba(0,0,0,0)"/></w:rPr><w:t xml:space="preserve"> </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73,425</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1"/><w:bCs w:val="1"/><w:i w:val="1"/><w:iCs w:val="1"/><w:shd w:val="clear" w:fill="rgba(0,0,0,0)"/></w:rPr><w:t xml:space="preserve">2021 Credit Agreement</w:t></w:r></w:p><w:p><w:pPr><w:jc w:val="start"/><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In August 2021, the Company, as borrower, its subsidiaries, as guarantors, and Silicon Valley Bank (“SVB”), and the several other lenders thereto (collectively, the “Lenders”) entered into a credit agreement (the “2021 Credit Agreement”), providing for a term loan facility not to exceed $</w:t></w:r><w:r><w:rPr><w:rFonts w:ascii="Times New Roman" w:hAnsi="Times New Roman" w:eastAsia="Times New Roman" w:cs="Times New Roman"/><w:color w:val="rgba(0,0,0,1)"/><w:sz w:val="20"/><w:szCs w:val="20"/><w:b w:val="0"/><w:bCs w:val="0"/><w:shd w:val="clear" w:fill="rgba(0,0,0,0)"/></w:rPr><w:t xml:space="preserve">75,000</w:t></w:r><w:r><w:rPr><w:rFonts w:ascii="Times New Roman" w:hAnsi="Times New Roman" w:eastAsia="Times New Roman" w:cs="Times New Roman"/><w:color w:val="rgba(0,0,0,1)"/><w:sz w:val="20"/><w:szCs w:val="20"/><w:b w:val="0"/><w:bCs w:val="0"/><w:shd w:val="clear" w:fill="rgba(0,0,0,0)"/></w:rPr><w:t xml:space="preserve"> (the “Term Loan Facility”) and a revolving credit facility not to exceed $</w:t></w:r><w:r><w:rPr><w:rFonts w:ascii="Times New Roman" w:hAnsi="Times New Roman" w:eastAsia="Times New Roman" w:cs="Times New Roman"/><w:color w:val="rgba(0,0,0,1)"/><w:sz w:val="20"/><w:szCs w:val="20"/><w:b w:val="0"/><w:bCs w:val="0"/><w:shd w:val="clear" w:fill="rgba(0,0,0,0)"/></w:rPr><w:t xml:space="preserve">125,000</w:t></w:r><w:r><w:rPr><w:rFonts w:ascii="Times New Roman" w:hAnsi="Times New Roman" w:eastAsia="Times New Roman" w:cs="Times New Roman"/><w:color w:val="rgba(0,0,0,1)"/><w:sz w:val="20"/><w:szCs w:val="20"/><w:b w:val="0"/><w:bCs w:val="0"/><w:shd w:val="clear" w:fill="rgba(0,0,0,0)"/></w:rPr><w:t xml:space="preserve"> (the “Revolving Facility”). The Company’s obligations to the Lenders are secured by substantially all of the Company’s assets, including intellectual property. Capitalized terms used herein and not otherwise defined are defined as set forth in the 2021 Credit Agreement.</w:t></w:r><w:r><w:rPr><w:rFonts w:ascii="Times New Roman" w:hAnsi="Times New Roman" w:eastAsia="Times New Roman" w:cs="Times New Roman"/><w:color w:val="rgba(0,0,0,1)"/><w:sz w:val="20"/><w:szCs w:val="20"/><w:b w:val="0"/><w:bCs w:val="0"/></w:rPr><w:t xml:space="preserve"> </w:t></w:r></w:p><w:p><w:pPr><w:jc w:val="start"/><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Advances made under the 2021 Credit Agreement may be either Eurodollar Loans or ABR Loans, at the Company’s option. </w:t></w:r><w:r><w:rPr><w:rFonts w:ascii="Times New Roman" w:hAnsi="Times New Roman" w:eastAsia="Times New Roman" w:cs="Times New Roman"/><w:color w:val="rgba(0,0,0,1)"/><w:sz w:val="20"/><w:szCs w:val="20"/><w:b w:val="0"/><w:bCs w:val="0"/><w:shd w:val="clear" w:fill="rgba(0,0,0,0)"/></w:rPr><w:t xml:space="preserve">For Eurodollar Loans, the interest rate is a per annum interest rate equal to LIBOR plus an Applicable Margin between </w:t></w:r><w:r><w:rPr><w:rFonts w:ascii="Times New Roman" w:hAnsi="Times New Roman" w:eastAsia="Times New Roman" w:cs="Times New Roman"/><w:color w:val="rgba(0,0,0,1)"/><w:sz w:val="20"/><w:szCs w:val="20"/><w:b w:val="0"/><w:bCs w:val="0"/><w:shd w:val="clear" w:fill="rgba(0,0,0,0)"/></w:rPr><w:t xml:space="preserve">2.00</w:t></w:r><w:r><w:rPr><w:rFonts w:ascii="Times New Roman" w:hAnsi="Times New Roman" w:eastAsia="Times New Roman" w:cs="Times New Roman"/><w:color w:val="rgba(0,0,0,1)"/><w:sz w:val="20"/><w:szCs w:val="20"/><w:b w:val="0"/><w:bCs w:val="0"/><w:shd w:val="clear" w:fill="rgba(0,0,0,0)"/></w:rPr><w:t xml:space="preserve">% to </w:t></w:r><w:r><w:rPr><w:rFonts w:ascii="Times New Roman" w:hAnsi="Times New Roman" w:eastAsia="Times New Roman" w:cs="Times New Roman"/><w:color w:val="rgba(0,0,0,1)"/><w:sz w:val="20"/><w:szCs w:val="20"/><w:b w:val="0"/><w:bCs w:val="0"/><w:shd w:val="clear" w:fill="rgba(0,0,0,0)"/></w:rPr><w:t xml:space="preserve">3.25</w:t></w:r><w:r><w:rPr><w:rFonts w:ascii="Times New Roman" w:hAnsi="Times New Roman" w:eastAsia="Times New Roman" w:cs="Times New Roman"/><w:color w:val="rgba(0,0,0,1)"/><w:sz w:val="20"/><w:szCs w:val="20"/><w:b w:val="0"/><w:bCs w:val="0"/><w:shd w:val="clear" w:fill="rgba(0,0,0,0)"/></w:rPr><w:t xml:space="preserve">% based on the Total Net Leverage Ratio. For ABR Loans, the interest rate is equal to (1) the highest of (a) the Wall Street Journal Prime Rate, (b) the Federal Funds Rate plus 0.50% and (c) the LIBOR rate plus 1.0%, </w:t></w:r><w:r><w:rPr><w:rFonts w:ascii="Times New Roman" w:hAnsi="Times New Roman" w:eastAsia="Times New Roman" w:cs="Times New Roman"/><w:color w:val="rgba(0,0,0,1)"/><w:sz w:val="20"/><w:szCs w:val="20"/><w:b w:val="0"/><w:bCs w:val="0"/><w:i w:val="1"/><w:iCs w:val="1"/><w:shd w:val="clear" w:fill="rgba(0,0,0,0)"/></w:rPr><w:t xml:space="preserve">plus</w:t></w:r><w:r><w:rPr><w:rFonts w:ascii="Times New Roman" w:hAnsi="Times New Roman" w:eastAsia="Times New Roman" w:cs="Times New Roman"/><w:color w:val="rgba(0,0,0,1)"/><w:sz w:val="20"/><w:szCs w:val="20"/><w:b w:val="0"/><w:bCs w:val="0"/><w:shd w:val="clear" w:fill="rgba(0,0,0,0)"/></w:rPr><w:t xml:space="preserve"> (2) an Applicable Margin between </w:t></w:r><w:r><w:rPr><w:rFonts w:ascii="Times New Roman" w:hAnsi="Times New Roman" w:eastAsia="Times New Roman" w:cs="Times New Roman"/><w:color w:val="rgba(0,0,0,1)"/><w:sz w:val="20"/><w:szCs w:val="20"/><w:b w:val="0"/><w:bCs w:val="0"/><w:shd w:val="clear" w:fill="rgba(0,0,0,0)"/></w:rPr><w:t xml:space="preserve">1.00</w:t></w:r><w:r><w:rPr><w:rFonts w:ascii="Times New Roman" w:hAnsi="Times New Roman" w:eastAsia="Times New Roman" w:cs="Times New Roman"/><w:color w:val="rgba(0,0,0,1)"/><w:sz w:val="20"/><w:szCs w:val="20"/><w:b w:val="0"/><w:bCs w:val="0"/><w:shd w:val="clear" w:fill="rgba(0,0,0,0)"/></w:rPr><w:t xml:space="preserve">% to </w:t></w:r><w:r><w:rPr><w:rFonts w:ascii="Times New Roman" w:hAnsi="Times New Roman" w:eastAsia="Times New Roman" w:cs="Times New Roman"/><w:color w:val="rgba(0,0,0,1)"/><w:sz w:val="20"/><w:szCs w:val="20"/><w:b w:val="0"/><w:bCs w:val="0"/><w:shd w:val="clear" w:fill="rgba(0,0,0,0)"/></w:rPr><w:t xml:space="preserve">2.25</w:t></w:r><w:r><w:rPr><w:rFonts w:ascii="Times New Roman" w:hAnsi="Times New Roman" w:eastAsia="Times New Roman" w:cs="Times New Roman"/><w:color w:val="rgba(0,0,0,1)"/><w:sz w:val="20"/><w:szCs w:val="20"/><w:b w:val="0"/><w:bCs w:val="0"/><w:shd w:val="clear" w:fill="rgba(0,0,0,0)"/></w:rPr><w:t xml:space="preserve">% based on the Total Net Leverage Ratio.</w:t></w:r></w:p><w:p><w:pPr><w:jc w:val="start"/><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The 2021 Credit Agreement requires the Company to make consecutive quarterly installment payments equal to the following: (a) from September 30, 2021 through and including June 30, 2022, $</w:t></w:r><w:r><w:rPr><w:rFonts w:ascii="Times New Roman" w:hAnsi="Times New Roman" w:eastAsia="Times New Roman" w:cs="Times New Roman"/><w:color w:val="rgba(0,0,0,1)"/><w:sz w:val="20"/><w:szCs w:val="20"/><w:b w:val="0"/><w:bCs w:val="0"/><w:shd w:val="clear" w:fill="rgba(0,0,0,0)"/></w:rPr><w:t xml:space="preserve">469</w:t></w:r><w:r><w:rPr><w:rFonts w:ascii="Times New Roman" w:hAnsi="Times New Roman" w:eastAsia="Times New Roman" w:cs="Times New Roman"/><w:color w:val="rgba(0,0,0,1)"/><w:sz w:val="20"/><w:szCs w:val="20"/><w:b w:val="0"/><w:bCs w:val="0"/><w:shd w:val="clear" w:fill="rgba(0,0,0,0)"/></w:rPr><w:t xml:space="preserve">; (b) from September 30, 2022 through and including June 30, 2023, $</w:t></w:r><w:r><w:rPr><w:rFonts w:ascii="Times New Roman" w:hAnsi="Times New Roman" w:eastAsia="Times New Roman" w:cs="Times New Roman"/><w:color w:val="rgba(0,0,0,1)"/><w:sz w:val="20"/><w:szCs w:val="20"/><w:b w:val="0"/><w:bCs w:val="0"/><w:shd w:val="clear" w:fill="rgba(0,0,0,0)"/></w:rPr><w:t xml:space="preserve">938</w:t></w:r><w:r><w:rPr><w:rFonts w:ascii="Times New Roman" w:hAnsi="Times New Roman" w:eastAsia="Times New Roman" w:cs="Times New Roman"/><w:color w:val="rgba(0,0,0,1)"/><w:sz w:val="20"/><w:szCs w:val="20"/><w:b w:val="0"/><w:bCs w:val="0"/><w:shd w:val="clear" w:fill="rgba(0,0,0,0)"/></w:rPr><w:t xml:space="preserve">; (c) from September 30, 2023 through and including June 30, 2025, $</w:t></w:r><w:r><w:rPr><w:rFonts w:ascii="Times New Roman" w:hAnsi="Times New Roman" w:eastAsia="Times New Roman" w:cs="Times New Roman"/><w:color w:val="rgba(0,0,0,1)"/><w:sz w:val="20"/><w:szCs w:val="20"/><w:b w:val="0"/><w:bCs w:val="0"/><w:shd w:val="clear" w:fill="rgba(0,0,0,0)"/></w:rPr><w:t xml:space="preserve">1,406</w:t></w:r><w:r><w:rPr><w:rFonts w:ascii="Times New Roman" w:hAnsi="Times New Roman" w:eastAsia="Times New Roman" w:cs="Times New Roman"/><w:color w:val="rgba(0,0,0,1)"/><w:sz w:val="20"/><w:szCs w:val="20"/><w:b w:val="0"/><w:bCs w:val="0"/><w:shd w:val="clear" w:fill="rgba(0,0,0,0)"/></w:rPr><w:t xml:space="preserve"> and (d) from September 30, 2025 and the last day of each quarter thereafter until August 6, 2026 (the “Term Loan Maturity Date”), $</w:t></w:r><w:r><w:rPr><w:rFonts w:ascii="Times New Roman" w:hAnsi="Times New Roman" w:eastAsia="Times New Roman" w:cs="Times New Roman"/><w:color w:val="rgba(0,0,0,1)"/><w:sz w:val="20"/><w:szCs w:val="20"/><w:b w:val="0"/><w:bCs w:val="0"/><w:shd w:val="clear" w:fill="rgba(0,0,0,0)"/></w:rPr><w:t xml:space="preserve">1,875</w:t></w:r><w:r><w:rPr><w:rFonts w:ascii="Times New Roman" w:hAnsi="Times New Roman" w:eastAsia="Times New Roman" w:cs="Times New Roman"/><w:color w:val="rgba(0,0,0,1)"/><w:sz w:val="20"/><w:szCs w:val="20"/><w:b w:val="0"/><w:bCs w:val="0"/><w:shd w:val="clear" w:fill="rgba(0,0,0,0)"/></w:rPr><w:t xml:space="preserve">. The Company may prepay the Term Loan Facility, provided that any Term Loans prepaid prior to August 6, 2022 must be accompanied by a prepayment premium equal to </w:t></w:r><w:r><w:rPr><w:rFonts w:ascii="Times New Roman" w:hAnsi="Times New Roman" w:eastAsia="Times New Roman" w:cs="Times New Roman"/><w:color w:val="rgba(0,0,0,1)"/><w:sz w:val="20"/><w:szCs w:val="20"/><w:b w:val="0"/><w:bCs w:val="0"/><w:shd w:val="clear" w:fill="rgba(0,0,0,0)"/></w:rPr><w:t xml:space="preserve">1.00</w:t></w:r><w:r><w:rPr><w:rFonts w:ascii="Times New Roman" w:hAnsi="Times New Roman" w:eastAsia="Times New Roman" w:cs="Times New Roman"/><w:color w:val="rgba(0,0,0,1)"/><w:sz w:val="20"/><w:szCs w:val="20"/><w:b w:val="0"/><w:bCs w:val="0"/><w:shd w:val="clear" w:fill="rgba(0,0,0,0)"/></w:rPr><w:t xml:space="preserve">% of the aggregate amount of Term Loans prepaid. Once repaid, amounts borrowed under the Term Loan Facility may not be re-borrowed.</w:t></w:r></w:p><w:p><w:pPr><w:jc w:val="center"/><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15</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The Company must pay in arrears, on the first day of each quarter prior to August 6, 2026 (the “Revolving Termination Date”) and on the Revolving Termination Date, a fee for the Company’s non-use of available funds (the “Commitment Fee”). The Commitment Fee rate is between </w:t></w:r><w:r><w:rPr><w:rFonts w:ascii="Times New Roman" w:hAnsi="Times New Roman" w:eastAsia="Times New Roman" w:cs="Times New Roman"/><w:color w:val="rgba(0,0,0,1)"/><w:sz w:val="20"/><w:szCs w:val="20"/><w:b w:val="0"/><w:bCs w:val="0"/><w:shd w:val="clear" w:fill="rgba(0,0,0,0)"/></w:rPr><w:t xml:space="preserve">0.25</w:t></w:r><w:r><w:rPr><w:rFonts w:ascii="Times New Roman" w:hAnsi="Times New Roman" w:eastAsia="Times New Roman" w:cs="Times New Roman"/><w:color w:val="rgba(0,0,0,1)"/><w:sz w:val="20"/><w:szCs w:val="20"/><w:b w:val="0"/><w:bCs w:val="0"/><w:shd w:val="clear" w:fill="rgba(0,0,0,0)"/></w:rPr><w:t xml:space="preserve">% to </w:t></w:r><w:r><w:rPr><w:rFonts w:ascii="Times New Roman" w:hAnsi="Times New Roman" w:eastAsia="Times New Roman" w:cs="Times New Roman"/><w:color w:val="rgba(0,0,0,1)"/><w:sz w:val="20"/><w:szCs w:val="20"/><w:b w:val="0"/><w:bCs w:val="0"/><w:shd w:val="clear" w:fill="rgba(0,0,0,0)"/></w:rPr><w:t xml:space="preserve">0.45</w:t></w:r><w:r><w:rPr><w:rFonts w:ascii="Times New Roman" w:hAnsi="Times New Roman" w:eastAsia="Times New Roman" w:cs="Times New Roman"/><w:color w:val="rgba(0,0,0,1)"/><w:sz w:val="20"/><w:szCs w:val="20"/><w:b w:val="0"/><w:bCs w:val="0"/><w:shd w:val="clear" w:fill="rgba(0,0,0,0)"/></w:rPr><w:t xml:space="preserve">% based on the Total Net Leverage Ratio. The Company may elect to reduce or terminate the Revolving Facility in its entirety at any time by repaying all outstanding principal, unpaid accrued interest and, with respect to any such reduction or termination of the Revolving Commitments made prior to August 6, 2022, </w:t></w:r><w:r><w:rPr><w:rFonts w:ascii="Times New Roman" w:hAnsi="Times New Roman" w:eastAsia="Times New Roman" w:cs="Times New Roman"/><w:color w:val="rgba(0,0,0,1)"/><w:sz w:val="20"/><w:szCs w:val="20"/><w:b w:val="0"/><w:bCs w:val="0"/><w:shd w:val="clear" w:fill="rgba(0,0,0,0)"/></w:rPr><w:t xml:space="preserve">1.00</w:t></w:r><w:r><w:rPr><w:rFonts w:ascii="Times New Roman" w:hAnsi="Times New Roman" w:eastAsia="Times New Roman" w:cs="Times New Roman"/><w:color w:val="rgba(0,0,0,1)"/><w:sz w:val="20"/><w:szCs w:val="20"/><w:b w:val="0"/><w:bCs w:val="0"/><w:shd w:val="clear" w:fill="rgba(0,0,0,0)"/></w:rPr><w:t xml:space="preserve">% of the aggregate amount of the Revolving Commitments so reduced or terminated.</w:t></w:r></w:p><w:p><w:pPr><w:jc w:val="start"/><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Under the 2021 Credit Agreement, the Company is required to comply with certain financial covenants including the Consolidated Fixed Charge Coverage Ratio and Consolidated Total Net Leverage Ratio, tested quarterly. In addition, the Company is also required to make representations and warranties and comply with certain non-financial covenants that are customary in loan agreements of this type, including restrictions on the payment of dividends, repurchase of stock, incurrence of indebtedness, dispositions and acquisitions.</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The Company had outstanding borrowings</w:t></w:r><w:r><w:rPr><w:rFonts w:ascii="Times New Roman" w:hAnsi="Times New Roman" w:eastAsia="Times New Roman" w:cs="Times New Roman"/><w:color w:val="rgba(0,0,0,1)"/><w:sz w:val="20"/><w:szCs w:val="20"/><w:b w:val="0"/><w:bCs w:val="0"/><w:shd w:val="clear" w:fill="rgba(0,0,0,0)"/></w:rPr><w:t xml:space="preserve"> of $</w:t></w:r><w:r><w:rPr><w:rFonts w:ascii="Times New Roman" w:hAnsi="Times New Roman" w:eastAsia="Times New Roman" w:cs="Times New Roman"/><w:color w:val="rgba(0,0,0,1)"/><w:sz w:val="20"/><w:szCs w:val="20"/><w:b w:val="0"/><w:bCs w:val="0"/><w:shd w:val="clear" w:fill="rgba(0,0,0,0)"/></w:rPr><w:t xml:space="preserve">73,125</w:t></w:r><w:r><w:rPr><w:rFonts w:ascii="Times New Roman" w:hAnsi="Times New Roman" w:eastAsia="Times New Roman" w:cs="Times New Roman"/><w:color w:val="rgba(0,0,0,1)"/><w:sz w:val="20"/><w:szCs w:val="20"/><w:b w:val="0"/><w:bCs w:val="0"/><w:shd w:val="clear" w:fill="rgba(0,0,0,0)"/></w:rPr><w:t xml:space="preserve"> an</w:t></w:r><w:r><w:rPr><w:rFonts w:ascii="Times New Roman" w:hAnsi="Times New Roman" w:eastAsia="Times New Roman" w:cs="Times New Roman"/><w:color w:val="rgba(0,0,0,1)"/><w:sz w:val="20"/><w:szCs w:val="20"/><w:b w:val="0"/><w:bCs w:val="0"/><w:shd w:val="clear" w:fill="rgba(0,0,0,0)"/></w:rPr><w:t xml:space="preserve">d $</w:t></w:r><w:r><w:rPr><w:rFonts w:ascii="Times New Roman" w:hAnsi="Times New Roman" w:eastAsia="Times New Roman" w:cs="Times New Roman"/><w:color w:val="rgba(0,0,0,1)"/><w:sz w:val="20"/><w:szCs w:val="20"/><w:b w:val="0"/><w:bCs w:val="0"/><w:shd w:val="clear" w:fill="rgba(0,0,0,0)"/></w:rPr><w:t xml:space="preserve">74,062</w:t></w:r><w:r><w:rPr><w:rFonts w:ascii="Times New Roman" w:hAnsi="Times New Roman" w:eastAsia="Times New Roman" w:cs="Times New Roman"/><w:color w:val="rgba(0,0,0,1)"/><w:sz w:val="20"/><w:szCs w:val="20"/><w:b w:val="0"/><w:bCs w:val="0"/><w:shd w:val="clear" w:fill="rgba(0,0,0,0)"/></w:rPr><w:t xml:space="preserve"> under the Term Loan Facility and $</w:t></w:r><w:r><w:rPr><w:rFonts w:ascii="Times New Roman" w:hAnsi="Times New Roman" w:eastAsia="Times New Roman" w:cs="Times New Roman"/><w:color w:val="rgba(0,0,0,1)"/><w:sz w:val="20"/><w:szCs w:val="20"/><w:b w:val="0"/><w:bCs w:val="0"/><w:shd w:val="clear" w:fill="rgba(0,0,0,0)"/></w:rPr><w:t xml:space="preserve">0</w:t></w:r><w:r><w:rPr><w:rFonts w:ascii="Times New Roman" w:hAnsi="Times New Roman" w:eastAsia="Times New Roman" w:cs="Times New Roman"/><w:color w:val="rgba(0,0,0,1)"/><w:sz w:val="20"/><w:szCs w:val="20"/><w:b w:val="0"/><w:bCs w:val="0"/><w:shd w:val="clear" w:fill="rgba(0,0,0,0)"/></w:rPr><w:t xml:space="preserve"> under the Revolving Facility with $</w:t></w:r><w:r><w:rPr><w:rFonts w:ascii="Times New Roman" w:hAnsi="Times New Roman" w:eastAsia="Times New Roman" w:cs="Times New Roman"/><w:color w:val="rgba(0,0,0,1)"/><w:sz w:val="20"/><w:szCs w:val="20"/><w:b w:val="0"/><w:bCs w:val="0"/><w:shd w:val="clear" w:fill="rgba(0,0,0,0)"/></w:rPr><w:t xml:space="preserve">125,000</w:t></w:r><w:r><w:rPr><w:rFonts w:ascii="Times New Roman" w:hAnsi="Times New Roman" w:eastAsia="Times New Roman" w:cs="Times New Roman"/><w:color w:val="rgba(0,0,0,1)"/><w:sz w:val="20"/><w:szCs w:val="20"/><w:b w:val="0"/><w:bCs w:val="0"/><w:shd w:val="clear" w:fill="rgba(0,0,0,0)"/></w:rPr><w:t xml:space="preserve"> available for future revolving borrowings as of June 30, 2022 and December 31, 2021, respectively. The Company recorded additional debt issuance costs and related fees of $</w:t></w:r><w:r><w:rPr><w:rFonts w:ascii="Times New Roman" w:hAnsi="Times New Roman" w:eastAsia="Times New Roman" w:cs="Times New Roman"/><w:color w:val="rgba(0,0,0,1)"/><w:sz w:val="20"/><w:szCs w:val="20"/><w:b w:val="0"/><w:bCs w:val="0"/><w:shd w:val="clear" w:fill="rgba(0,0,0,0)"/></w:rPr><w:t xml:space="preserve">604</w:t></w:r><w:r><w:rPr><w:rFonts w:ascii="Times New Roman" w:hAnsi="Times New Roman" w:eastAsia="Times New Roman" w:cs="Times New Roman"/><w:color w:val="rgba(0,0,0,1)"/><w:sz w:val="20"/><w:szCs w:val="20"/><w:b w:val="0"/><w:bCs w:val="0"/><w:shd w:val="clear" w:fill="rgba(0,0,0,0)"/></w:rPr><w:t xml:space="preserve"> in connection with the Term Loan Facility, which are recorded as a reduction of the carrying value of the term loan on the Company’s consolidated balance sheets. In connection with the Revolving Facility, the Company recorded debt issuance costs and related fees of $</w:t></w:r><w:r><w:rPr><w:rFonts w:ascii="Times New Roman" w:hAnsi="Times New Roman" w:eastAsia="Times New Roman" w:cs="Times New Roman"/><w:color w:val="rgba(0,0,0,1)"/><w:sz w:val="20"/><w:szCs w:val="20"/><w:b w:val="0"/><w:bCs w:val="0"/><w:shd w:val="clear" w:fill="rgba(0,0,0,0)"/></w:rPr><w:t xml:space="preserve">1,223</w:t></w:r><w:r><w:rPr><w:rFonts w:ascii="Times New Roman" w:hAnsi="Times New Roman" w:eastAsia="Times New Roman" w:cs="Times New Roman"/><w:color w:val="rgba(0,0,0,1)"/><w:sz w:val="20"/><w:szCs w:val="20"/><w:b w:val="0"/><w:bCs w:val="0"/><w:shd w:val="clear" w:fill="rgba(0,0,0,0)"/></w:rPr><w:t xml:space="preserve">, which are recorded as other assets. Both of these costs are being amortized to interest expense through the maturity date of the facilities.</w:t></w:r><w:r><w:rPr><w:rFonts w:ascii="Times New Roman" w:hAnsi="Times New Roman" w:eastAsia="Times New Roman" w:cs="Times New Roman"/><w:color w:val="rgba(0,0,0,1)"/><w:sz w:val="20"/><w:szCs w:val="20"/><w:b w:val="0"/><w:bCs w:val="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Future payments of the 2021 Credit Agreement, as of June 30, 2022, are as follows for the calendar years ending December 31:</w:t></w:r><w:r><w:rPr><w:rFonts w:ascii="Times New Roman" w:hAnsi="Times New Roman" w:eastAsia="Times New Roman" w:cs="Times New Roman"/><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24800" w:type="dxa"/><w:gridCol w:w="3950" w:type="dxa"/><w:gridCol w:w="0" w:type="dxa"/><w:gridCol w:w="35700" w:type="dxa"/><w:gridCol w:w="0" w:type="dxa"/></w:tblGrid><w:tblPr><w:tblW w:w="0" w:type="pct"/><w:tblLayout w:type="autofit"/></w:tblPr><w:tr><w:trPr/><w:tc><w:tcPr><w:tcW w:w="24800" w:type="pct"/><w:noWrap/></w:tcPr><w:p><w:pPr/></w:p></w:tc><w:tc><w:tcPr><w:tcW w:w="3950" w:type="pct"/><w:noWrap/></w:tcPr><w:p><w:pPr/></w:p></w:tc><w:tc><w:tcPr><w:tcW w:w="0" w:type="pct"/><w:noWrap/></w:tcPr><w:p><w:pPr/></w:p></w:tc><w:tc><w:tcPr><w:tcW w:w="35700" w:type="pct"/><w:noWrap/></w:tcPr><w:p><w:pPr/></w:p></w:tc><w:tc><w:tcPr><w:tcW w:w="0" w:type="pct"/><w:noWrap/></w:tcPr><w:p><w:pP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2022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1,875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2023</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4,687</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2024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5,625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2025</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6,563</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2026</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54,375</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Total</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73,125</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1"/><w:bCs w:val="1"/><w:i w:val="1"/><w:iCs w:val="1"/><w:shd w:val="clear" w:fill="rgba(0,0,0,0)"/></w:rPr><w:t xml:space="preserve">2019 Credit Agreement</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In March 2019, the Company, its subsidiaries and SVB, and the several other lenders thereto entered into a credit agreement, as amended (the “2019 Credit Agreement”), providing for a term loan facility of $</w:t></w:r><w:r><w:rPr><w:rFonts w:ascii="Times New Roman" w:hAnsi="Times New Roman" w:eastAsia="Times New Roman" w:cs="Times New Roman"/><w:color w:val="rgba(0,0,0,1)"/><w:sz w:val="20"/><w:szCs w:val="20"/><w:b w:val="0"/><w:bCs w:val="0"/><w:shd w:val="clear" w:fill="rgba(0,0,0,0)"/></w:rPr><w:t xml:space="preserve">40,000</w:t></w:r><w:r><w:rPr><w:rFonts w:ascii="Times New Roman" w:hAnsi="Times New Roman" w:eastAsia="Times New Roman" w:cs="Times New Roman"/><w:color w:val="rgba(0,0,0,1)"/><w:sz w:val="20"/><w:szCs w:val="20"/><w:b w:val="0"/><w:bCs w:val="0"/><w:shd w:val="clear" w:fill="rgba(0,0,0,0)"/></w:rPr><w:t xml:space="preserve"> and a revolving credit facility of up to $</w:t></w:r><w:r><w:rPr><w:rFonts w:ascii="Times New Roman" w:hAnsi="Times New Roman" w:eastAsia="Times New Roman" w:cs="Times New Roman"/><w:color w:val="rgba(0,0,0,1)"/><w:sz w:val="20"/><w:szCs w:val="20"/><w:b w:val="0"/><w:bCs w:val="0"/><w:shd w:val="clear" w:fill="rgba(0,0,0,0)"/></w:rPr><w:t xml:space="preserve">60,000</w:t></w:r><w:r><w:rPr><w:rFonts w:ascii="Times New Roman" w:hAnsi="Times New Roman" w:eastAsia="Times New Roman" w:cs="Times New Roman"/><w:color w:val="rgba(0,0,0,1)"/><w:sz w:val="20"/><w:szCs w:val="20"/><w:b w:val="0"/><w:bCs w:val="0"/><w:shd w:val="clear" w:fill="rgba(0,0,0,0)"/></w:rPr><w:t xml:space="preserve">. Both facilities were set to mature in </w:t></w:r><w:r><w:rPr><w:rFonts w:ascii="Times New Roman" w:hAnsi="Times New Roman" w:eastAsia="Times New Roman" w:cs="Times New Roman"/><w:color w:val="rgba(0,0,0,1)"/><w:sz w:val="20"/><w:szCs w:val="20"/><w:b w:val="0"/><w:bCs w:val="0"/><w:shd w:val="clear" w:fill="rgba(0,0,0,0)"/></w:rPr><w:t xml:space="preserve">2024</w:t></w:r><w:r><w:rPr><w:rFonts w:ascii="Times New Roman" w:hAnsi="Times New Roman" w:eastAsia="Times New Roman" w:cs="Times New Roman"/><w:color w:val="rgba(0,0,0,1)"/><w:sz w:val="20"/><w:szCs w:val="20"/><w:b w:val="0"/><w:bCs w:val="0"/><w:shd w:val="clear" w:fill="rgba(0,0,0,0)"/></w:rPr><w:t xml:space="preserve">. The interest rate for the term loan facility was a floating per </w:t></w:r><w:r><w:rPr><w:rFonts w:ascii="Times New Roman" w:hAnsi="Times New Roman" w:eastAsia="Times New Roman" w:cs="Times New Roman"/><w:color w:val="rgba(0,0,0,1)"/><w:sz w:val="20"/><w:szCs w:val="20"/><w:b w:val="0"/><w:bCs w:val="0"/><w:shd w:val="clear" w:fill="rgba(0,0,0,0)"/></w:rPr><w:t xml:space="preserve">annum interest rate equal to the greater of </w:t></w:r><w:r><w:rPr><w:rFonts w:ascii="Times New Roman" w:hAnsi="Times New Roman" w:eastAsia="Times New Roman" w:cs="Times New Roman"/><w:color w:val="rgba(0,0,0,1)"/><w:sz w:val="20"/><w:szCs w:val="20"/><w:b w:val="0"/><w:bCs w:val="0"/><w:shd w:val="clear" w:fill="rgba(0,0,0,0)"/></w:rPr><w:t xml:space="preserve">3.75</w:t></w:r><w:r><w:rPr><w:rFonts w:ascii="Times New Roman" w:hAnsi="Times New Roman" w:eastAsia="Times New Roman" w:cs="Times New Roman"/><w:color w:val="rgba(0,0,0,1)"/><w:sz w:val="20"/><w:szCs w:val="20"/><w:b w:val="0"/><w:bCs w:val="0"/><w:shd w:val="clear" w:fill="rgba(0,0,0,0)"/></w:rPr><w:t xml:space="preserve">% above the Wall Street Journal Prime Rate and </w:t></w:r><w:r><w:rPr><w:rFonts w:ascii="Times New Roman" w:hAnsi="Times New Roman" w:eastAsia="Times New Roman" w:cs="Times New Roman"/><w:color w:val="rgba(0,0,0,1)"/><w:sz w:val="20"/><w:szCs w:val="20"/><w:b w:val="0"/><w:bCs w:val="0"/><w:shd w:val="clear" w:fill="rgba(0,0,0,0)"/></w:rPr><w:t xml:space="preserve">9.25</w:t></w: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 </w:t></w:r><w:r><w:rPr><w:rFonts w:ascii="Times New Roman" w:hAnsi="Times New Roman" w:eastAsia="Times New Roman" w:cs="Times New Roman"/><w:color w:val="rgba(0,0,0,1)"/><w:sz w:val="20"/><w:szCs w:val="20"/><w:b w:val="0"/><w:bCs w:val="0"/><w:shd w:val="clear" w:fill="rgba(0,0,0,0)"/></w:rPr><w:t xml:space="preserve">The interest rate for advances under the revolving facility was a floating per annum interest rate equal to the greater of the Wall Street Journal Prime Rate and 5.50%.</w:t></w:r><w:r><w:rPr><w:rFonts w:ascii="Times New Roman" w:hAnsi="Times New Roman" w:eastAsia="Times New Roman" w:cs="Times New Roman"/><w:color w:val="rgba(0,0,0,1)"/><w:sz w:val="20"/><w:szCs w:val="20"/><w:b w:val="0"/><w:bCs w:val="0"/><w:shd w:val="clear" w:fill="rgba(0,0,0,0)"/></w:rPr><w:t xml:space="preserve"> If the Company elected to prepay the loan or terminate the facilities, the Company was required to pay a certain percentage of the outstanding principal as a prepayment fee. A final payment fee (the “Final Payment”) of </w:t></w:r><w:r><w:rPr><w:rFonts w:ascii="Times New Roman" w:hAnsi="Times New Roman" w:eastAsia="Times New Roman" w:cs="Times New Roman"/><w:color w:val="rgba(0,0,0,1)"/><w:sz w:val="20"/><w:szCs w:val="20"/><w:b w:val="0"/><w:bCs w:val="0"/><w:shd w:val="clear" w:fill="rgba(0,0,0,0)"/></w:rPr><w:t xml:space="preserve">6.5</w:t></w:r><w:r><w:rPr><w:rFonts w:ascii="Times New Roman" w:hAnsi="Times New Roman" w:eastAsia="Times New Roman" w:cs="Times New Roman"/><w:color w:val="rgba(0,0,0,1)"/><w:sz w:val="20"/><w:szCs w:val="20"/><w:b w:val="0"/><w:bCs w:val="0"/><w:shd w:val="clear" w:fill="rgba(0,0,0,0)"/></w:rPr><w:t xml:space="preserve">% multiplied by the original aggregate principal amount of term loan facility was due upon the earlier to occur of the maturity date of the term loan or prepayment of all outstanding principal.</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In August 2021, upon entering into the 2021 Credit Agreement, the Company paid an aggregate amount of $</w:t></w:r><w:r><w:rPr><w:rFonts w:ascii="Times New Roman" w:hAnsi="Times New Roman" w:eastAsia="Times New Roman" w:cs="Times New Roman"/><w:color w:val="rgba(0,0,0,1)"/><w:sz w:val="20"/><w:szCs w:val="20"/><w:b w:val="0"/><w:bCs w:val="0"/><w:shd w:val="clear" w:fill="rgba(0,0,0,0)"/></w:rPr><w:t xml:space="preserve">70,559</w:t></w:r><w:r><w:rPr><w:rFonts w:ascii="Times New Roman" w:hAnsi="Times New Roman" w:eastAsia="Times New Roman" w:cs="Times New Roman"/><w:color w:val="rgba(0,0,0,1)"/><w:sz w:val="20"/><w:szCs w:val="20"/><w:b w:val="0"/><w:bCs w:val="0"/><w:shd w:val="clear" w:fill="rgba(0,0,0,0)"/></w:rPr><w:t xml:space="preserve"> due under the 2019 Credit Agreement, including unpaid principal, accrued interest, the Final Payment and a prepayment fee, with proceeds from the 2021 Credit Agreement, and the 2019 Credit Agreement was terminated. Upon termination of the 2019 Credit Agreement, the Company recognized $</w:t></w:r><w:r><w:rPr><w:rFonts w:ascii="Times New Roman" w:hAnsi="Times New Roman" w:eastAsia="Times New Roman" w:cs="Times New Roman"/><w:color w:val="rgba(0,0,0,1)"/><w:sz w:val="20"/><w:szCs w:val="20"/><w:b w:val="0"/><w:bCs w:val="0"/><w:shd w:val="clear" w:fill="rgba(0,0,0,0)"/></w:rPr><w:t xml:space="preserve">1,883</w:t></w:r><w:r><w:rPr><w:rFonts w:ascii="Times New Roman" w:hAnsi="Times New Roman" w:eastAsia="Times New Roman" w:cs="Times New Roman"/><w:color w:val="rgba(0,0,0,1)"/><w:sz w:val="20"/><w:szCs w:val="20"/><w:b w:val="0"/><w:bCs w:val="0"/><w:shd w:val="clear" w:fill="rgba(0,0,0,0)"/></w:rPr><w:t xml:space="preserve"> as loss on the extinguishment of the loan for the year ended December 31, 2021.</w:t></w:r><w:r><w:rPr><w:rFonts w:ascii="Times New Roman" w:hAnsi="Times New Roman" w:eastAsia="Times New Roman" w:cs="Times New Roman"/><w:color w:val="rgba(0,0,0,1)"/><w:sz w:val="20"/><w:szCs w:val="20"/><w:b w:val="0"/><w:bCs w:val="0"/></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shd w:val="clear" w:fill="rgba(0,0,0,0)"/></w:rPr><w:t xml:space="preserve">14. Stockholders’ Equity</w:t></w:r><w:r><w:rPr><w:rFonts w:ascii="Times New Roman" w:hAnsi="Times New Roman" w:eastAsia="Times New Roman" w:cs="Times New Roman"/><w:color w:val="rgba(0,0,0,1)"/><w:sz w:val="20"/><w:szCs w:val="20"/><w:b w:val="1"/><w:b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1"/><w:bCs w:val="1"/><w:i w:val="1"/><w:iCs w:val="1"/><w:shd w:val="clear" w:fill="rgba(0,0,0,0)"/></w:rPr><w:t xml:space="preserve">Common Stock</w:t></w:r><w:r><w:rPr><w:rFonts w:ascii="Times New Roman" w:hAnsi="Times New Roman" w:eastAsia="Times New Roman" w:cs="Times New Roman"/><w:color w:val="rgba(0,0,0,1)"/><w:sz w:val="20"/><w:szCs w:val="20"/><w:b w:val="1"/><w:bCs w:val="1"/><w:i w:val="1"/><w:i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As of June 30, 2022, the issued shares of Class A common stock include </w:t></w:r><w:r><w:rPr><w:rFonts w:ascii="Times New Roman" w:hAnsi="Times New Roman" w:eastAsia="Times New Roman" w:cs="Times New Roman"/><w:color w:val="rgba(0,0,0,1)"/><w:sz w:val="20"/><w:szCs w:val="20"/><w:b w:val="0"/><w:bCs w:val="0"/><w:shd w:val="clear" w:fill="rgba(0,0,0,0)"/></w:rPr><w:t xml:space="preserve">728,548</w:t></w:r><w:r><w:rPr><w:rFonts w:ascii="Times New Roman" w:hAnsi="Times New Roman" w:eastAsia="Times New Roman" w:cs="Times New Roman"/><w:color w:val="rgba(0,0,0,1)"/><w:sz w:val="20"/><w:szCs w:val="20"/><w:b w:val="0"/><w:bCs w:val="0"/><w:shd w:val="clear" w:fill="rgba(0,0,0,0)"/></w:rPr><w:t xml:space="preserve"> treasury shares that were reacquired in connection with the redemption of redeemable shares in March 2019.</w:t></w:r><w:r><w:rPr><w:rFonts w:ascii="Times New Roman" w:hAnsi="Times New Roman" w:eastAsia="Times New Roman" w:cs="Times New Roman"/><w:color w:val="rgba(0,0,0,1)"/><w:sz w:val="20"/><w:szCs w:val="20"/><w:b w:val="0"/><w:bCs w:val="0"/></w:rPr><w:t xml:space="preserve"> </w:t></w:r></w:p><w:p><w:pPr><w:jc w:val="center"/><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16</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As of June 30, 2022 and December 31, 2021, the Company reserved the following shares of Class A common stock for future issuance:</w:t></w:r><w:r><w:rPr><w:rFonts w:ascii="Times New Roman" w:hAnsi="Times New Roman" w:eastAsia="Times New Roman" w:cs="Times New Roman"/><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17550" w:type="dxa"/><w:gridCol w:w="20750" w:type="dxa"/><w:gridCol w:w="0" w:type="dxa"/><w:gridCol w:w="48350" w:type="dxa"/><w:gridCol w:w="0" w:type="dxa"/><w:gridCol w:w="14950" w:type="dxa"/><w:gridCol w:w="0" w:type="dxa"/><w:gridCol w:w="48350" w:type="dxa"/><w:gridCol w:w="0" w:type="dxa"/></w:tblGrid><w:tblPr><w:tblW w:w="0" w:type="pct"/><w:tblLayout w:type="autofit"/></w:tblPr><w:tr><w:trPr/><w:tc><w:tcPr><w:tcW w:w="17550" w:type="pct"/><w:noWrap/></w:tcPr><w:p><w:pPr/></w:p></w:tc><w:tc><w:tcPr><w:tcW w:w="20750" w:type="pct"/><w:noWrap/></w:tcPr><w:p><w:pPr/></w:p></w:tc><w:tc><w:tcPr><w:tcW w:w="0" w:type="pct"/><w:noWrap/></w:tcPr><w:p><w:pPr/></w:p></w:tc><w:tc><w:tcPr><w:tcW w:w="48350" w:type="pct"/><w:noWrap/></w:tcPr><w:p><w:pPr/></w:p></w:tc><w:tc><w:tcPr><w:tcW w:w="0" w:type="pct"/><w:noWrap/></w:tcPr><w:p><w:pPr/></w:p></w:tc><w:tc><w:tcPr><w:tcW w:w="14950" w:type="pct"/><w:noWrap/></w:tcPr><w:p><w:pPr/></w:p></w:tc><w:tc><w:tcPr><w:tcW w:w="0" w:type="pct"/><w:noWrap/></w:tcPr><w:p><w:pPr/></w:p></w:tc><w:tc><w:tcPr><w:tcW w:w="48350" w:type="pct"/><w:noWrap/></w:tcPr><w:p><w:pPr/></w:p></w:tc><w:tc><w:tcPr><w:tcW w:w="0" w:type="pct"/><w:noWrap/></w:tcPr><w:p><w:pP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June 30,</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December 31,</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Shares reserved for issuance for outstanding options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6,132,561</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6,596,969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Shares reserved for issuance for outstanding restricted stock units</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1,471,223</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764,871</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Shares reserved for issuance for future grants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11,187,149</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5,644,691</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Total shares of authorized common stock reserved for future</w:t></w:r><w:r><w:rPr><w:rFonts w:ascii="Calibri" w:hAnsi="Calibri" w:eastAsia="Calibri" w:cs="Calibri"/><w:color w:val="rgba(0,0,0,1)"/><w:sz w:val="20"/><w:szCs w:val="20"/><w:b w:val="0"/><w:bCs w:val="0"/><w:shd w:val="clear" w:fill="rgba(0,0,0,0)"/></w:rPr><w:t xml:space="preserve"> </w:t></w:r><w:r><w:rPr><w:rFonts w:ascii="Times New Roman" w:hAnsi="Times New Roman" w:eastAsia="Times New Roman" w:cs="Times New Roman"/><w:color w:val="rgba(0,0,0,1)"/><w:sz w:val="20"/><w:szCs w:val="20"/><w:b w:val="0"/><w:bCs w:val="0"/><w:shd w:val="clear" w:fill="rgba(0,0,0,0)"/></w:rPr><w:t xml:space="preserve">issuance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18,790,933</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13,006,531</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160" w:after="0" w:line="276" w:lineRule="auto"/></w:pPr><w:r><w:rPr><w:rFonts w:ascii="Times New Roman" w:hAnsi="Times New Roman" w:eastAsia="Times New Roman" w:cs="Times New Roman"/><w:color w:val="rgba(0,0,0,1)"/><w:sz w:val="20"/><w:szCs w:val="20"/><w:b w:val="1"/><w:bCs w:val="1"/><w:shd w:val="clear" w:fill="rgba(0,0,0,0)"/></w:rPr><w:t xml:space="preserve">15. Stock-Based Compensation</w:t></w:r><w:r><w:rPr><w:rFonts w:ascii="Times New Roman" w:hAnsi="Times New Roman" w:eastAsia="Times New Roman" w:cs="Times New Roman"/><w:color w:val="rgba(0,0,0,1)"/><w:sz w:val="20"/><w:szCs w:val="20"/><w:b w:val="1"/><w:b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1"/><w:bCs w:val="1"/><w:i w:val="1"/><w:iCs w:val="1"/><w:shd w:val="clear" w:fill="rgba(0,0,0,0)"/></w:rPr><w:t xml:space="preserve">Stock Incentive Plans-the 2018 Plan</w:t></w:r><w:r><w:rPr><w:rFonts w:ascii="Times New Roman" w:hAnsi="Times New Roman" w:eastAsia="Times New Roman" w:cs="Times New Roman"/><w:color w:val="rgba(0,0,0,1)"/><w:sz w:val="20"/><w:szCs w:val="20"/><w:b w:val="1"/><w:bCs w:val="1"/><w:i w:val="1"/><w:i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On November 28, 2018, the Board of Directors of the Company adopted, and on December 10, 2018 the Company’s stockholders approved, the Organogenesis 2018 Equity and Incentive Plan (the “2018 Plan”). The purposes of the 2018 Plan are to provide long-term incentives and rewards to the Company’s employees, officers, directors and other key persons (including consultants), to attract and retain persons with the requisite experience and ability, and to more closely align the interests of such employees, officers, directors and other key persons with the interests of the Company’s stockholders.</w:t></w:r><w:r><w:rPr><w:rFonts w:ascii="Times New Roman" w:hAnsi="Times New Roman" w:eastAsia="Times New Roman" w:cs="Times New Roman"/><w:color w:val="rgba(0,0,0,1)"/><w:sz w:val="20"/><w:szCs w:val="20"/><w:b w:val="0"/><w:bCs w:val="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The 2018 Plan authorizes the Company’s Board of Directors or a committee of not less than two independent directors (in either case, the “Administrator”) to grant the following types of awards: non-statutory stock options; incentive stock options; restricted stock awards; restricted stock units; stock appreciation rights; unrestricted stock awards; performance share awards; and dividend equivalent rights. The 2018 Plan is administered by the Company’s Board of Directors.</w:t></w:r><w:r><w:rPr><w:rFonts w:ascii="Times New Roman" w:hAnsi="Times New Roman" w:eastAsia="Times New Roman" w:cs="Times New Roman"/><w:color w:val="rgba(0,0,0,1)"/><w:sz w:val="20"/><w:szCs w:val="20"/><w:b w:val="0"/><w:bCs w:val="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At the adoption of the 2018 plan, a total of </w:t></w:r><w:r><w:rPr><w:rFonts w:ascii="Times New Roman" w:hAnsi="Times New Roman" w:eastAsia="Times New Roman" w:cs="Times New Roman"/><w:color w:val="rgba(0,0,0,1)"/><w:sz w:val="20"/><w:szCs w:val="20"/><w:b w:val="0"/><w:bCs w:val="0"/><w:shd w:val="clear" w:fill="rgba(0,0,0,0)"/></w:rPr><w:t xml:space="preserve">9,198,996</w:t></w:r><w:r><w:rPr><w:rFonts w:ascii="Times New Roman" w:hAnsi="Times New Roman" w:eastAsia="Times New Roman" w:cs="Times New Roman"/><w:color w:val="rgba(0,0,0,1)"/><w:sz w:val="20"/><w:szCs w:val="20"/><w:b w:val="0"/><w:bCs w:val="0"/><w:shd w:val="clear" w:fill="rgba(0,0,0,0)"/></w:rPr><w:t xml:space="preserve"> shares of Class A common stock was authorized to be issued (subject to adjustment in the case of any stock dividend, stock split, reverse stock split, or similar change in capitalization of the Company). In June, 2022, an amendment was made to the 2018 Plan, increasing the number of shares of Class A common stock reserved for issuance by </w:t></w:r><w:r><w:rPr><w:rFonts w:ascii="Times New Roman" w:hAnsi="Times New Roman" w:eastAsia="Times New Roman" w:cs="Times New Roman"/><w:color w:val="rgba(0,0,0,1)"/><w:sz w:val="20"/><w:szCs w:val="20"/><w:b w:val="0"/><w:bCs w:val="0"/><w:shd w:val="clear" w:fill="rgba(0,0,0,0)"/></w:rPr><w:t xml:space="preserve">7,826,970</w:t></w:r><w:r><w:rPr><w:rFonts w:ascii="Times New Roman" w:hAnsi="Times New Roman" w:eastAsia="Times New Roman" w:cs="Times New Roman"/><w:color w:val="rgba(0,0,0,1)"/><w:sz w:val="20"/><w:szCs w:val="20"/><w:b w:val="0"/><w:bCs w:val="0"/><w:shd w:val="clear" w:fill="rgba(0,0,0,0)"/></w:rPr><w:t xml:space="preserve"> shares.</w:t></w:r><w:r><w:rPr><w:rFonts w:ascii="Times New Roman" w:hAnsi="Times New Roman" w:eastAsia="Times New Roman" w:cs="Times New Roman"/><w:color w:val="rgba(0,0,0,1)"/><w:sz w:val="20"/><w:szCs w:val="20"/><w:b w:val="0"/><w:bCs w:val="0"/></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i w:val="1"/><w:iCs w:val="1"/><w:shd w:val="clear" w:fill="rgba(0,0,0,0)"/></w:rPr><w:t xml:space="preserve">Stock Incentive Plans-the 2003 Plan</w:t></w:r><w:r><w:rPr><w:rFonts w:ascii="Times New Roman" w:hAnsi="Times New Roman" w:eastAsia="Times New Roman" w:cs="Times New Roman"/><w:color w:val="rgba(0,0,0,1)"/><w:sz w:val="20"/><w:szCs w:val="20"/><w:b w:val="1"/><w:bCs w:val="1"/><w:i w:val="1"/><w:i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The Organogenesis 2003 Stock Incentive Plan (the “2003 Plan”), provides for the Company to issue restricted stock awards, or to grant incentive stock options or non-statutory stock options. Incentive stock options may be granted only to the Company’s employees. Restricted stock awards and non-statutory stock options may be granted to employees, members of the Board of Directors, outside advisors and consultants of the Company.</w:t></w:r><w:r><w:rPr><w:rFonts w:ascii="Times New Roman" w:hAnsi="Times New Roman" w:eastAsia="Times New Roman" w:cs="Times New Roman"/><w:color w:val="rgba(0,0,0,1)"/><w:sz w:val="20"/><w:szCs w:val="20"/><w:b w:val="0"/><w:bCs w:val="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Effective as of the closing of the Avista Merger on December 10, 2018, no additional awards may be made under the 2003 Plan and as a result (i) any shares in respect of stock options that are expired or terminated under the 2003 Plan without having been fully exercised will not be available for future awards; (ii) any shares in respect of restricted stock that are forfeited to, or otherwise repurchased by the Company, will not be available for future awards; and (iii) any shares of Class A common stock that are tendered to the Company by a participant to exercise an award will not be available for future awards.</w:t></w:r><w:r><w:rPr><w:rFonts w:ascii="Times New Roman" w:hAnsi="Times New Roman" w:eastAsia="Times New Roman" w:cs="Times New Roman"/><w:color w:val="rgba(0,0,0,1)"/><w:sz w:val="20"/><w:szCs w:val="20"/><w:b w:val="0"/><w:bCs w:val="0"/></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i w:val="1"/><w:iCs w:val="1"/><w:shd w:val="clear" w:fill="rgba(0,0,0,0)"/></w:rPr><w:t xml:space="preserve">Stock-Based Compensation Expense</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Stock options awarded under the stock incentive plans expire </w:t></w:r><w:r><w:rPr><w:rFonts w:ascii="Times New Roman" w:hAnsi="Times New Roman" w:eastAsia="Times New Roman" w:cs="Times New Roman"/><w:color w:val="rgba(0,0,0,1)"/><w:sz w:val="20"/><w:szCs w:val="20"/><w:b w:val="0"/><w:bCs w:val="0"/><w:shd w:val="clear" w:fill="rgba(0,0,0,0)"/></w:rPr><w:t xml:space="preserve">10</w:t></w:r><w:r><w:rPr><w:rFonts w:ascii="Times New Roman" w:hAnsi="Times New Roman" w:eastAsia="Times New Roman" w:cs="Times New Roman"/><w:color w:val="rgba(0,0,0,1)"/><w:sz w:val="20"/><w:szCs w:val="20"/><w:b w:val="0"/><w:bCs w:val="0"/><w:shd w:val="clear" w:fill="rgba(0,0,0,0)"/></w:rPr><w:t xml:space="preserve"> years after the grant date and typically vest over </w:t></w:r><w:r><w:rPr><w:rFonts w:ascii="Times New Roman" w:hAnsi="Times New Roman" w:eastAsia="Times New Roman" w:cs="Times New Roman"/><w:color w:val="rgba(0,0,0,1)"/><w:sz w:val="20"/><w:szCs w:val="20"/><w:b w:val="0"/><w:bCs w:val="0"/><w:shd w:val="clear" w:fill="rgba(0,0,0,0)"/></w:rPr><w:t xml:space="preserve">four</w:t></w:r><w:r><w:rPr><w:rFonts w:ascii="Times New Roman" w:hAnsi="Times New Roman" w:eastAsia="Times New Roman" w:cs="Times New Roman"/><w:color w:val="rgba(0,0,0,1)"/><w:sz w:val="20"/><w:szCs w:val="20"/><w:b w:val="0"/><w:bCs w:val="0"/><w:shd w:val="clear" w:fill="rgba(0,0,0,0)"/></w:rPr><w:t xml:space="preserve"> or </w:t></w:r><w:r><w:rPr><w:rFonts w:ascii="Times New Roman" w:hAnsi="Times New Roman" w:eastAsia="Times New Roman" w:cs="Times New Roman"/><w:color w:val="rgba(0,0,0,1)"/><w:sz w:val="20"/><w:szCs w:val="20"/><w:b w:val="0"/><w:bCs w:val="0"/><w:shd w:val="clear" w:fill="rgba(0,0,0,0)"/></w:rPr><w:t xml:space="preserve">five years</w:t></w:r><w:r><w:rPr><w:rFonts w:ascii="Times New Roman" w:hAnsi="Times New Roman" w:eastAsia="Times New Roman" w:cs="Times New Roman"/><w:color w:val="rgba(0,0,0,1)"/><w:sz w:val="20"/><w:szCs w:val="20"/><w:b w:val="0"/><w:bCs w:val="0"/><w:shd w:val="clear" w:fill="rgba(0,0,0,0)"/></w:rPr><w:t xml:space="preserve">. Restricted stock units awarded typically vest over four years.</w:t></w:r><w:r><w:rPr><w:rFonts w:ascii="Times New Roman" w:hAnsi="Times New Roman" w:eastAsia="Times New Roman" w:cs="Times New Roman"/><w:color w:val="rgba(0,0,0,1)"/><w:sz w:val="20"/><w:szCs w:val="20"/><w:b w:val="0"/><w:bCs w:val="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Stock-based compensation expense was $</w:t></w:r><w:r><w:rPr><w:rFonts w:ascii="Times New Roman" w:hAnsi="Times New Roman" w:eastAsia="Times New Roman" w:cs="Times New Roman"/><w:color w:val="rgba(0,0,0,1)"/><w:sz w:val="20"/><w:szCs w:val="20"/><w:b w:val="0"/><w:bCs w:val="0"/><w:shd w:val="clear" w:fill="rgba(0,0,0,0)"/></w:rPr><w:t xml:space="preserve">1,692</w:t></w:r><w:r><w:rPr><w:rFonts w:ascii="Times New Roman" w:hAnsi="Times New Roman" w:eastAsia="Times New Roman" w:cs="Times New Roman"/><w:color w:val="rgba(0,0,0,1)"/><w:sz w:val="20"/><w:szCs w:val="20"/><w:b w:val="0"/><w:bCs w:val="0"/><w:shd w:val="clear" w:fill="rgba(0,0,0,0)"/></w:rPr><w:t xml:space="preserve"> and $</w:t></w:r><w:r><w:rPr><w:rFonts w:ascii="Times New Roman" w:hAnsi="Times New Roman" w:eastAsia="Times New Roman" w:cs="Times New Roman"/><w:color w:val="rgba(0,0,0,1)"/><w:sz w:val="20"/><w:szCs w:val="20"/><w:b w:val="0"/><w:bCs w:val="0"/><w:shd w:val="clear" w:fill="rgba(0,0,0,0)"/></w:rPr><w:t xml:space="preserve">1,042</w:t></w:r><w:r><w:rPr><w:rFonts w:ascii="Times New Roman" w:hAnsi="Times New Roman" w:eastAsia="Times New Roman" w:cs="Times New Roman"/><w:color w:val="rgba(0,0,0,1)"/><w:sz w:val="20"/><w:szCs w:val="20"/><w:b w:val="0"/><w:bCs w:val="0"/><w:shd w:val="clear" w:fill="rgba(0,0,0,0)"/></w:rPr><w:t xml:space="preserve"> for the three months ended June 30, 2022 and 2021, respectively, and was $</w:t></w:r><w:r><w:rPr><w:rFonts w:ascii="Times New Roman" w:hAnsi="Times New Roman" w:eastAsia="Times New Roman" w:cs="Times New Roman"/><w:color w:val="rgba(0,0,0,1)"/><w:sz w:val="20"/><w:szCs w:val="20"/><w:b w:val="0"/><w:bCs w:val="0"/><w:shd w:val="clear" w:fill="rgba(0,0,0,0)"/></w:rPr><w:t xml:space="preserve">2,995</w:t></w:r><w:r><w:rPr><w:rFonts w:ascii="Times New Roman" w:hAnsi="Times New Roman" w:eastAsia="Times New Roman" w:cs="Times New Roman"/><w:color w:val="rgba(0,0,0,1)"/><w:sz w:val="20"/><w:szCs w:val="20"/><w:b w:val="0"/><w:bCs w:val="0"/><w:shd w:val="clear" w:fill="rgba(0,0,0,0)"/></w:rPr><w:t xml:space="preserve"> and $</w:t></w:r><w:r><w:rPr><w:rFonts w:ascii="Times New Roman" w:hAnsi="Times New Roman" w:eastAsia="Times New Roman" w:cs="Times New Roman"/><w:color w:val="rgba(0,0,0,1)"/><w:sz w:val="20"/><w:szCs w:val="20"/><w:b w:val="0"/><w:bCs w:val="0"/><w:shd w:val="clear" w:fill="rgba(0,0,0,0)"/></w:rPr><w:t xml:space="preserve">1,740</w:t></w:r><w:r><w:rPr><w:rFonts w:ascii="Times New Roman" w:hAnsi="Times New Roman" w:eastAsia="Times New Roman" w:cs="Times New Roman"/><w:color w:val="rgba(0,0,0,1)"/><w:sz w:val="20"/><w:szCs w:val="20"/><w:b w:val="0"/><w:bCs w:val="0"/><w:shd w:val="clear" w:fill="rgba(0,0,0,0)"/></w:rPr><w:t xml:space="preserve"> for the six months ended June 30, 2022 and 2021, respectively. The total amount of stock-based compensation expense was included within selling, general and administrative expenses on the consolidated statements of operations.</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i w:val="1"/><w:iCs w:val="1"/><w:shd w:val="clear" w:fill="rgba(0,0,0,0)"/></w:rPr><w:t xml:space="preserve">Restricted Stock Units (RSUs)</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The Company granted </w:t></w:r><w:r><w:rPr><w:rFonts w:ascii="Times New Roman" w:hAnsi="Times New Roman" w:eastAsia="Times New Roman" w:cs="Times New Roman"/><w:color w:val="rgba(0,0,0,1)"/><w:sz w:val="20"/><w:szCs w:val="20"/><w:b w:val="0"/><w:bCs w:val="0"/><w:shd w:val="clear" w:fill="rgba(0,0,0,0)"/></w:rPr><w:t xml:space="preserve">979,257</w:t></w:r><w:r><w:rPr><w:rFonts w:ascii="Times New Roman" w:hAnsi="Times New Roman" w:eastAsia="Times New Roman" w:cs="Times New Roman"/><w:color w:val="rgba(0,0,0,1)"/><w:sz w:val="20"/><w:szCs w:val="20"/><w:b w:val="0"/><w:bCs w:val="0"/><w:shd w:val="clear" w:fill="rgba(0,0,0,0)"/></w:rPr><w:t xml:space="preserve"> and </w:t></w:r><w:r><w:rPr><w:rFonts w:ascii="Times New Roman" w:hAnsi="Times New Roman" w:eastAsia="Times New Roman" w:cs="Times New Roman"/><w:color w:val="rgba(0,0,0,1)"/><w:sz w:val="20"/><w:szCs w:val="20"/><w:b w:val="0"/><w:bCs w:val="0"/><w:shd w:val="clear" w:fill="rgba(0,0,0,0)"/></w:rPr><w:t xml:space="preserve">290,027</w:t></w:r><w:r><w:rPr><w:rFonts w:ascii="Times New Roman" w:hAnsi="Times New Roman" w:eastAsia="Times New Roman" w:cs="Times New Roman"/><w:color w:val="rgba(0,0,0,1)"/><w:sz w:val="20"/><w:szCs w:val="20"/><w:b w:val="0"/><w:bCs w:val="0"/><w:shd w:val="clear" w:fill="rgba(0,0,0,0)"/></w:rPr><w:t xml:space="preserve"> time-based restricted stock units to its employees, executives and the Board of Directors in the six months ended June 30, 2022 and 2021, respectively. Each restricted stock unit represents the contingent right to receive one share of the Company’s Class A common stock. A majority of the restricted stock units will vest in four equal annual installments.</w:t></w:r><w:r><w:rPr><w:rFonts w:ascii="Century Gothic" w:hAnsi="Century Gothic" w:eastAsia="Century Gothic" w:cs="Century Gothic"/><w:color w:val="rgba(33,37,41,1)"/><w:sz w:val="20"/><w:szCs w:val="20"/><w:b w:val="0"/><w:bCs w:val="0"/><w:shd w:val="clear" w:fill="rgba(0,0,0,0)"/></w:rPr><w:t xml:space="preserve"> </w:t></w:r><w:r><w:rPr><w:rFonts w:ascii="Times New Roman" w:hAnsi="Times New Roman" w:eastAsia="Times New Roman" w:cs="Times New Roman"/><w:color w:val="rgba(0,0,0,1)"/><w:sz w:val="20"/><w:szCs w:val="20"/><w:b w:val="0"/><w:bCs w:val="0"/><w:shd w:val="clear" w:fill="rgba(0,0,0,0)"/></w:rPr><w:t xml:space="preserve">The fair value of the restricted stock units was based on the fair market value of the Company’s stock on the date of grant.</w:t></w:r><w:r><w:rPr><w:rFonts w:ascii="Times New Roman" w:hAnsi="Times New Roman" w:eastAsia="Times New Roman" w:cs="Times New Roman"/><w:color w:val="rgba(0,0,0,1)"/><w:sz w:val="20"/><w:szCs w:val="20"/><w:b w:val="0"/><w:bCs w:val="0"/></w:rPr><w:t xml:space="preserve"> </w:t></w:r></w:p><w:p><w:pPr><w:jc w:val="center"/><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17</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120" w:after="0" w:line="260" w:lineRule="exact"/></w:pPr><w:r><w:rPr><w:rFonts w:ascii="Times New Roman" w:hAnsi="Times New Roman" w:eastAsia="Times New Roman" w:cs="Times New Roman"/><w:color w:val="rgba(0,0,0,1)"/><w:sz w:val="20"/><w:szCs w:val="20"/><w:b w:val="0"/><w:bCs w:val="0"/><w:shd w:val="clear" w:fill="rgba(0,0,0,0)"/></w:rPr><w:t xml:space="preserve">The activity of restricted stock un</w:t></w:r><w:r><w:rPr><w:rFonts w:ascii="Times New Roman" w:hAnsi="Times New Roman" w:eastAsia="Times New Roman" w:cs="Times New Roman"/><w:color w:val="rgba(0,0,0,1)"/><w:sz w:val="20"/><w:szCs w:val="20"/><w:b w:val="0"/><w:bCs w:val="0"/><w:shd w:val="clear" w:fill="rgba(0,0,0,0)"/></w:rPr><w:t xml:space="preserve">its is set forth below:</w:t></w:r></w:p><w:p><w:pPr><w:jc w:val="start"/><w:ind w:left="0" w:right="0" w:firstLine="0" w:hanging="0"/><w:spacing w:before="0" w:after="0" w:line="260" w:lineRule="exact"/></w:pPr><w:r><w:rPr><w:rFonts w:ascii="Times New Roman" w:hAnsi="Times New Roman" w:eastAsia="Times New Roman" w:cs="Times New Roman"/><w:sz w:val="20"/><w:szCs w:val="20"/></w:rPr><w:t xml:space="preserve"> </w:t></w:r></w:p><w:tbl><w:tblGrid><w:gridCol w:w="400" w:type="dxa"/><w:gridCol w:w="22950" w:type="dxa"/><w:gridCol w:w="0" w:type="dxa"/><w:gridCol w:w="38600" w:type="dxa"/><w:gridCol w:w="0" w:type="dxa"/><w:gridCol w:w="16300" w:type="dxa"/><w:gridCol w:w="0" w:type="dxa"/><w:gridCol w:w="32100" w:type="dxa"/><w:gridCol w:w="0" w:type="dxa"/></w:tblGrid><w:tblPr><w:tblW w:w="0" w:type="pct"/><w:tblLayout w:type="autofit"/></w:tblPr><w:tr><w:trPr/><w:tc><w:tcPr><w:tcW w:w="400" w:type="pct"/><w:noWrap/></w:tcPr><w:p><w:pPr/></w:p></w:tc><w:tc><w:tcPr><w:tcW w:w="22950" w:type="pct"/><w:noWrap/></w:tcPr><w:p><w:pPr/></w:p></w:tc><w:tc><w:tcPr><w:tcW w:w="0" w:type="pct"/><w:noWrap/></w:tcPr><w:p><w:pPr/></w:p></w:tc><w:tc><w:tcPr><w:tcW w:w="38600" w:type="pct"/><w:noWrap/></w:tcPr><w:p><w:pPr/></w:p></w:tc><w:tc><w:tcPr><w:tcW w:w="0" w:type="pct"/><w:noWrap/></w:tcPr><w:p><w:pPr/></w:p></w:tc><w:tc><w:tcPr><w:tcW w:w="16300" w:type="pct"/><w:noWrap/></w:tcPr><w:p><w:pPr/></w:p></w:tc><w:tc><w:tcPr><w:tcW w:w="0" w:type="pct"/><w:noWrap/></w:tcPr><w:p><w:pPr/></w:p></w:tc><w:tc><w:tcPr><w:tcW w:w="32100" w:type="pct"/><w:noWrap/></w:tcPr><w:p><w:pPr/></w:p></w:tc><w:tc><w:tcPr><w:tcW w:w="0" w:type="pct"/><w:noWrap/></w:tcPr><w:p><w:pPr/></w:p></w:tc></w:tr><w:tr><w:trPr><w:trHeight w:val="18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2"/><w:szCs w:val="22"/><w:shd w:val="clear" w:fill="rgba(0,0,0,0)"/></w:rPr><w:t xml:space="preserve"> </w:t></w:r></w:p></w:tc><w:tc><w:tcPr><w:tcW w:w="0" w:type="pct"/><w:vAlign w:val="center"/><w:shd w:val="clear" w:fill="rgba(0,0,0,0)"/><w:gridSpan w:val="3"/><w:noWrap/></w:tcPr><w:p><w:pPr><w:jc w:val="center"/><w:ind w:left="0" w:right="0" w:firstLine="0" w:hanging="0"/><w:spacing w:before="0" w:after="0" w:line="252" w:lineRule="auto"/></w:pPr><w:r><w:rPr><w:rFonts w:ascii="Times New Roman" w:hAnsi="Times New Roman" w:eastAsia="Times New Roman" w:cs="Times New Roman"/><w:color w:val="rgba(0,0,0,1)"/><w:sz w:val="18"/><w:szCs w:val="18"/><w:b w:val="1"/><w:bCs w:val="1"/><w:shd w:val="clear" w:fill="rgba(0,0,0,0)"/></w:rPr><w:t xml:space="preserve">Number</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8"/><w:szCs w:val="18"/><w:b w:val="1"/><w:bCs w:val="1"/><w:shd w:val="clear" w:fill="rgba(0,0,0,0)"/></w:rPr><w:t xml:space="preserve">Weighted Average</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8"/><w:szCs w:val="18"/><w:shd w:val="clear" w:fill="rgba(0,0,0,0)"/></w:rPr><w:t xml:space="preserve"> </w:t></w:r></w:p></w:tc></w:tr><w:tr><w:trPr><w:trHeight w:val="18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2"/><w:szCs w:val="22"/><w:shd w:val="clear" w:fill="rgba(0,0,0,0)"/></w:rPr><w:t xml:space="preserve"> </w:t></w:r></w:p></w:tc><w:tc><w:tcPr><w:tcW w:w="0" w:type="pct"/><w:vAlign w:val="center"/><w:shd w:val="clear" w:fill="rgba(0,0,0,0)"/><w:gridSpan w:val="3"/><w:noWrap/></w:tcPr><w:p><w:pPr><w:jc w:val="center"/><w:ind w:left="0" w:right="0" w:firstLine="0" w:hanging="0"/><w:spacing w:before="0" w:after="0" w:line="252" w:lineRule="auto"/></w:pPr><w:r><w:rPr><w:rFonts w:ascii="Times New Roman" w:hAnsi="Times New Roman" w:eastAsia="Times New Roman" w:cs="Times New Roman"/><w:color w:val="rgba(0,0,0,1)"/><w:sz w:val="18"/><w:szCs w:val="18"/><w:b w:val="1"/><w:bCs w:val="1"/><w:shd w:val="clear" w:fill="rgba(0,0,0,0)"/></w:rPr><w:t xml:space="preserve">of Shares</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8"/><w:szCs w:val="18"/><w:b w:val="1"/><w:bCs w:val="1"/><w:shd w:val="clear" w:fill="rgba(0,0,0,0)"/></w:rPr><w:t xml:space="preserve">Grant Date</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8"/><w:szCs w:val="18"/><w:shd w:val="clear" w:fill="rgba(0,0,0,0)"/></w:rPr><w:t xml:space="preserve"> </w:t></w:r></w:p></w:tc></w:tr><w:tr><w:trPr><w:trHeight w:val="18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2"/><w:szCs w:val="22"/><w:shd w:val="clear" w:fill="rgba(0,0,0,0)"/></w:rPr><w:t xml:space="preserve"> </w:t></w:r></w:p></w:tc><w:tc><w:tcPr><w:tcW w:w="0" w:type="pct"/><w:vAlign w:val="bottom"/><w:tcBorders><w:bottom w:val="single" w:sz="5000" w:color="solid"/></w:tcBorders><w:shd w:val="clear" w:fill="rgba(0,0,0,0)"/><w:gridSpan w:val="3"/><w:noWrap/></w:tcPr><w:p><w:pPr><w:jc w:val="start"/><w:ind w:left="0" w:right="0" w:firstLine="0" w:hanging="0"/><w:spacing w:before="0" w:after="0" w:line="252" w:lineRule="auto"/></w:pPr><w:r><w:rPr><w:rFonts w:ascii="Times New Roman" w:hAnsi="Times New Roman" w:eastAsia="Times New Roman" w:cs="Times New Roman"/><w:sz w:val="22"/><w:szCs w:val="22"/><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2"/><w:szCs w:val="22"/><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8"/><w:szCs w:val="18"/><w:b w:val="1"/><w:bCs w:val="1"/><w:shd w:val="clear" w:fill="rgba(0,0,0,0)"/></w:rPr><w:t xml:space="preserve">Fair Value</w:t></w:r></w:p></w:tc><w:tc><w:tcPr><w:tcW w:w="0" w:type="pct"/><w:vAlign w:val="center"/><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8"/><w:szCs w:val="18"/><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Unvested at December 31, 2021</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764,871</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7.52</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Granted</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979,257</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7.56</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Vested</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239,245</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7.11</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Canceled/Forfeited</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33,660</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6.76</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Unvested at June 30, 2022</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1,471,223</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7.63</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bl><w:p><w:pPr><w:jc w:val="start"/><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As of June 30, 2022, the total unrecognized compensation cost related to unvested restricted stock units expected to vest was </w:t></w: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7,479</w:t></w:r><w:r><w:rPr><w:rFonts w:ascii="Times New Roman" w:hAnsi="Times New Roman" w:eastAsia="Times New Roman" w:cs="Times New Roman"/><w:color w:val="rgba(0,0,0,1)"/><w:sz w:val="20"/><w:szCs w:val="20"/><w:b w:val="0"/><w:bCs w:val="0"/><w:shd w:val="clear" w:fill="rgba(0,0,0,0)"/></w:rPr><w:t xml:space="preserve"> and the weighted average remaining recognition period for unvested awards was </w:t></w:r><w:r><w:rPr><w:rFonts w:ascii="Times New Roman" w:hAnsi="Times New Roman" w:eastAsia="Times New Roman" w:cs="Times New Roman"/><w:color w:val="rgba(0,0,0,1)"/><w:sz w:val="20"/><w:szCs w:val="20"/><w:b w:val="0"/><w:bCs w:val="0"/><w:shd w:val="clear" w:fill="rgba(0,0,0,0)"/></w:rPr><w:t xml:space="preserve">2.92</w:t></w:r><w:r><w:rPr><w:rFonts w:ascii="Times New Roman" w:hAnsi="Times New Roman" w:eastAsia="Times New Roman" w:cs="Times New Roman"/><w:color w:val="rgba(0,0,0,1)"/><w:sz w:val="20"/><w:szCs w:val="20"/><w:b w:val="0"/><w:bCs w:val="0"/><w:shd w:val="clear" w:fill="rgba(0,0,0,0)"/></w:rPr><w:t xml:space="preserve"> years.</w:t></w:r></w:p><w:p><w:pPr><w:jc w:val="start"/><w:ind w:left="0" w:right="0" w:firstLine="0" w:hanging="0"/><w:spacing w:before="360" w:after="120" w:line="276" w:lineRule="auto"/></w:pPr><w:r><w:rPr><w:rFonts w:ascii="Times New Roman" w:hAnsi="Times New Roman" w:eastAsia="Times New Roman" w:cs="Times New Roman"/><w:color w:val="rgba(0,0,0,1)"/><w:sz w:val="20"/><w:szCs w:val="20"/><w:b w:val="1"/><w:bCs w:val="1"/><w:i w:val="1"/><w:iCs w:val="1"/><w:shd w:val="clear" w:fill="rgba(0,0,0,0)"/></w:rPr><w:t xml:space="preserve">Stock Option Valuation</w:t></w:r></w:p><w:p><w:pPr><w:jc w:val="start"/><w:ind w:left="0" w:right="0" w:firstLine="0" w:hanging="0"/><w:spacing w:before="120" w:after="120" w:line="276" w:lineRule="auto"/></w:pPr><w:r><w:rPr><w:rFonts w:ascii="Times New Roman" w:hAnsi="Times New Roman" w:eastAsia="Times New Roman" w:cs="Times New Roman"/><w:color w:val="rgba(0,0,0,1)"/><w:sz w:val="20"/><w:szCs w:val="20"/><w:b w:val="0"/><w:bCs w:val="0"/><w:shd w:val="clear" w:fill="rgba(0,0,0,0)"/></w:rPr><w:t xml:space="preserve">The stock options granted during the six months ended June 30, 2022 and 2021 were </w:t></w:r><w:r><w:rPr><w:rFonts w:ascii="Times New Roman" w:hAnsi="Times New Roman" w:eastAsia="Times New Roman" w:cs="Times New Roman"/><w:color w:val="rgba(0,0,0,1)"/><w:sz w:val="20"/><w:szCs w:val="20"/><w:b w:val="0"/><w:bCs w:val="0"/><w:shd w:val="clear" w:fill="rgba(0,0,0,0)"/></w:rPr><w:t xml:space="preserve">1,418,224</w:t></w:r><w:r><w:rPr><w:rFonts w:ascii="Times New Roman" w:hAnsi="Times New Roman" w:eastAsia="Times New Roman" w:cs="Times New Roman"/><w:color w:val="rgba(0,0,0,1)"/><w:sz w:val="20"/><w:szCs w:val="20"/><w:b w:val="0"/><w:bCs w:val="0"/><w:shd w:val="clear" w:fill="rgba(0,0,0,0)"/></w:rPr><w:t xml:space="preserve"> and </w:t></w:r><w:r><w:rPr><w:rFonts w:ascii="Times New Roman" w:hAnsi="Times New Roman" w:eastAsia="Times New Roman" w:cs="Times New Roman"/><w:color w:val="rgba(0,0,0,1)"/><w:sz w:val="20"/><w:szCs w:val="20"/><w:b w:val="0"/><w:bCs w:val="0"/><w:shd w:val="clear" w:fill="rgba(0,0,0,0)"/></w:rPr><w:t xml:space="preserve">1,037,099</w:t></w:r><w:r><w:rPr><w:rFonts w:ascii="Times New Roman" w:hAnsi="Times New Roman" w:eastAsia="Times New Roman" w:cs="Times New Roman"/><w:color w:val="rgba(0,0,0,1)"/><w:sz w:val="20"/><w:szCs w:val="20"/><w:b w:val="0"/><w:bCs w:val="0"/><w:shd w:val="clear" w:fill="rgba(0,0,0,0)"/></w:rPr><w:t xml:space="preserve">, respectively. </w:t></w:r><w:r><w:rPr><w:rFonts w:ascii="Times New Roman" w:hAnsi="Times New Roman" w:eastAsia="Times New Roman" w:cs="Times New Roman"/><w:color w:val="rgba(0,0,0,1)"/><w:sz w:val="20"/><w:szCs w:val="20"/><w:b w:val="0"/><w:bCs w:val="0"/><w:shd w:val="clear" w:fill="rgba(0,0,0,0)"/></w:rPr><w:t xml:space="preserve">The assumptions that the Company used to determine the grant-date fair value of stock options granted during these periods were as follows, presented on a weighted-average basis:</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150" w:type="dxa"/><w:gridCol w:w="22300" w:type="dxa"/><w:gridCol w:w="0" w:type="dxa"/><w:gridCol w:w="48499999999999950" w:type="dxa"/><w:gridCol w:w="0" w:type="dxa"/><w:gridCol w:w="15650" w:type="dxa"/><w:gridCol w:w="0" w:type="dxa"/><w:gridCol w:w="48499999999999950" w:type="dxa"/><w:gridCol w:w="0" w:type="dxa"/></w:tblGrid><w:tblPr><w:tblW w:w="0" w:type="pct"/><w:tblLayout w:type="autofit"/></w:tblPr><w:tr><w:trPr/><w:tc><w:tcPr><w:tcW w:w="150" w:type="pct"/><w:noWrap/></w:tcPr><w:p><w:pPr/></w:p></w:tc><w:tc><w:tcPr><w:tcW w:w="22300" w:type="pct"/><w:noWrap/></w:tcPr><w:p><w:pPr/></w:p></w:tc><w:tc><w:tcPr><w:tcW w:w="0" w:type="pct"/><w:noWrap/></w:tcPr><w:p><w:pPr/></w:p></w:tc><w:tc><w:tcPr><w:tcW w:w="48499999999999950" w:type="pct"/><w:noWrap/></w:tcPr><w:p><w:pPr/></w:p></w:tc><w:tc><w:tcPr><w:tcW w:w="0" w:type="pct"/><w:noWrap/></w:tcPr><w:p><w:pPr/></w:p></w:tc><w:tc><w:tcPr><w:tcW w:w="15650" w:type="pct"/><w:noWrap/></w:tcPr><w:p><w:pPr/></w:p></w:tc><w:tc><w:tcPr><w:tcW w:w="0" w:type="pct"/><w:noWrap/></w:tcPr><w:p><w:pPr/></w:p></w:tc><w:tc><w:tcPr><w:tcW w:w="48499999999999950" w:type="pct"/><w:noWrap/></w:tcPr><w:p><w:pPr/></w:p></w:tc><w:tc><w:tcPr><w:tcW w:w="0" w:type="pct"/><w:noWrap/></w:tcPr><w:p><w:pP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June 30,</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June 30,</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Risk-free interest rate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1.92</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2"/><w:szCs w:val="22"/><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0.82</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r><w:trPr><w:trHeight w:val="20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Expected term (in years)</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6.25</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2"/><w:szCs w:val="22"/><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6.21</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Expected volatility</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50.66</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2"/><w:szCs w:val="22"/><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39.30</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r><w:trPr><w:trHeight w:val="20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Expected dividend yield</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0.0</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2"/><w:szCs w:val="22"/><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0.0</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Exercise price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8.03</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2"/><w:szCs w:val="22"/><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13.54</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Underlying stock price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7.87</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2"/><w:szCs w:val="22"/><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13.54</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color w:val="rgba(0,0,0,1)"/><w:sz w:val="20"/><w:szCs w:val="20"/><w:b w:val="0"/><w:bCs w:val="0"/><w:shd w:val="clear" w:fill="rgba(0,0,0,0)"/></w:rPr><w:t xml:space="preserve">These assumptions resulted in an estimated weighted-average grant-date fair value per share of stock options granted during the six months ended June 30, 2022 and 202</w:t></w:r><w:r><w:rPr><w:rFonts w:ascii="Times New Roman" w:hAnsi="Times New Roman" w:eastAsia="Times New Roman" w:cs="Times New Roman"/><w:color w:val="rgba(0,0,0,1)"/><w:sz w:val="20"/><w:szCs w:val="20"/><w:b w:val="0"/><w:bCs w:val="0"/><w:shd w:val="clear" w:fill="rgba(0,0,0,0)"/></w:rPr><w:t xml:space="preserve">1 of $</w:t></w:r><w:r><w:rPr><w:rFonts w:ascii="Times New Roman" w:hAnsi="Times New Roman" w:eastAsia="Times New Roman" w:cs="Times New Roman"/><w:color w:val="rgba(0,0,0,1)"/><w:sz w:val="20"/><w:szCs w:val="20"/><w:b w:val="0"/><w:bCs w:val="0"/><w:shd w:val="clear" w:fill="rgba(0,0,0,0)"/></w:rPr><w:t xml:space="preserve">3.94</w:t></w:r><w:r><w:rPr><w:rFonts w:ascii="Times New Roman" w:hAnsi="Times New Roman" w:eastAsia="Times New Roman" w:cs="Times New Roman"/><w:color w:val="rgba(0,0,0,1)"/><w:sz w:val="20"/><w:szCs w:val="20"/><w:b w:val="0"/><w:bCs w:val="0"/><w:shd w:val="clear" w:fill="rgba(0,0,0,0)"/></w:rPr><w:t xml:space="preserve"> and</w:t></w:r><w:r><w:rPr><w:rFonts w:ascii="Times New Roman" w:hAnsi="Times New Roman" w:eastAsia="Times New Roman" w:cs="Times New Roman"/><w:color w:val="rgba(0,0,0,1)"/><w:sz w:val="20"/><w:szCs w:val="20"/><w:b w:val="0"/><w:bCs w:val="0"/><w:shd w:val="clear" w:fill="rgba(0,0,0,0)"/></w:rPr><w:t xml:space="preserve"> $</w:t></w:r><w:r><w:rPr><w:rFonts w:ascii="Times New Roman" w:hAnsi="Times New Roman" w:eastAsia="Times New Roman" w:cs="Times New Roman"/><w:color w:val="rgba(0,0,0,1)"/><w:sz w:val="20"/><w:szCs w:val="20"/><w:b w:val="0"/><w:bCs w:val="0"/><w:shd w:val="clear" w:fill="rgba(0,0,0,0)"/></w:rPr><w:t xml:space="preserve">5.31</w:t></w:r><w:r><w:rPr><w:rFonts w:ascii="Times New Roman" w:hAnsi="Times New Roman" w:eastAsia="Times New Roman" w:cs="Times New Roman"/><w:color w:val="rgba(0,0,0,1)"/><w:sz w:val="20"/><w:szCs w:val="20"/><w:b w:val="0"/><w:bCs w:val="0"/><w:shd w:val="clear" w:fill="rgba(0,0,0,0)"/></w:rPr><w:t xml:space="preserve">, respectively.</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i w:val="1"/><w:iCs w:val="1"/><w:shd w:val="clear" w:fill="rgba(0,0,0,0)"/></w:rPr><w:t xml:space="preserve">Stock Option Activity</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The following table summarizes the Company’s stock option activity since December 31, 2021:</w:t></w:r><w:r><w:rPr><w:rFonts w:ascii="Times New Roman" w:hAnsi="Times New Roman" w:eastAsia="Times New Roman" w:cs="Times New Roman"/><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17550" w:type="dxa"/><w:gridCol w:w="5650" w:type="dxa"/><w:gridCol w:w="0" w:type="dxa"/><w:gridCol w:w="42750" w:type="dxa"/><w:gridCol w:w="0" w:type="dxa"/><w:gridCol w:w="49650" w:type="dxa"/><w:gridCol w:w="0" w:type="dxa"/><w:gridCol w:w="800" w:type="dxa"/><w:gridCol w:w="0" w:type="dxa"/><w:gridCol w:w="49650" w:type="dxa"/><w:gridCol w:w="0" w:type="dxa"/><w:gridCol w:w="3550" w:type="dxa"/><w:gridCol w:w="0" w:type="dxa"/><w:gridCol w:w="49650" w:type="dxa"/><w:gridCol w:w="0" w:type="dxa"/><w:gridCol w:w="30800000000000050" w:type="dxa"/><w:gridCol w:w="0" w:type="dxa"/></w:tblGrid><w:tblPr><w:tblW w:w="0" w:type="pct"/><w:tblLayout w:type="autofit"/></w:tblPr><w:tr><w:trPr/><w:tc><w:tcPr><w:tcW w:w="17550" w:type="pct"/><w:noWrap/></w:tcPr><w:p><w:pPr/></w:p></w:tc><w:tc><w:tcPr><w:tcW w:w="5650" w:type="pct"/><w:noWrap/></w:tcPr><w:p><w:pPr/></w:p></w:tc><w:tc><w:tcPr><w:tcW w:w="0" w:type="pct"/><w:noWrap/></w:tcPr><w:p><w:pPr/></w:p></w:tc><w:tc><w:tcPr><w:tcW w:w="42750" w:type="pct"/><w:noWrap/></w:tcPr><w:p><w:pPr/></w:p></w:tc><w:tc><w:tcPr><w:tcW w:w="0" w:type="pct"/><w:noWrap/></w:tcPr><w:p><w:pPr/></w:p></w:tc><w:tc><w:tcPr><w:tcW w:w="49650" w:type="pct"/><w:noWrap/></w:tcPr><w:p><w:pPr/></w:p></w:tc><w:tc><w:tcPr><w:tcW w:w="0" w:type="pct"/><w:noWrap/></w:tcPr><w:p><w:pPr/></w:p></w:tc><w:tc><w:tcPr><w:tcW w:w="800" w:type="pct"/><w:noWrap/></w:tcPr><w:p><w:pPr/></w:p></w:tc><w:tc><w:tcPr><w:tcW w:w="0" w:type="pct"/><w:noWrap/></w:tcPr><w:p><w:pPr/></w:p></w:tc><w:tc><w:tcPr><w:tcW w:w="49650" w:type="pct"/><w:noWrap/></w:tcPr><w:p><w:pPr/></w:p></w:tc><w:tc><w:tcPr><w:tcW w:w="0" w:type="pct"/><w:noWrap/></w:tcPr><w:p><w:pPr/></w:p></w:tc><w:tc><w:tcPr><w:tcW w:w="3550" w:type="pct"/><w:noWrap/></w:tcPr><w:p><w:pPr/></w:p></w:tc><w:tc><w:tcPr><w:tcW w:w="0" w:type="pct"/><w:noWrap/></w:tcPr><w:p><w:pPr/></w:p></w:tc><w:tc><w:tcPr><w:tcW w:w="49650" w:type="pct"/><w:noWrap/></w:tcPr><w:p><w:pPr/></w:p></w:tc><w:tc><w:tcPr><w:tcW w:w="0" w:type="pct"/><w:noWrap/></w:tcPr><w:p><w:pPr/></w:p></w:tc><w:tc><w:tcPr><w:tcW w:w="30800000000000050" w:type="pct"/><w:noWrap/></w:tcPr><w:p><w:pPr/></w:p></w:tc><w:tc><w:tcPr><w:tcW w:w="0" w:type="pct"/><w:noWrap/></w:tcPr><w:p><w:pP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Weighted</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Average</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Weighted</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Remaining</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Average</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Contractual</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Aggregate</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Number of</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Exercise</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Term</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Intrinsic</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Shares</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Price</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(in years)</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Value</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Outstanding as of December 31, 2021</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6,596,969</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4.10</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5.20</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38,524</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Granted</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1,418,224</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8.03</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Exercised</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1,845,897</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1.11</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8,408</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Canceled / forfeited</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36,735</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2.50</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Outstanding as of June 30, 2022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6,132,561</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5.92</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6.65</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2"/><w:szCs w:val="22"/><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7,509</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Options exercisable as of June 30, 2022</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3,167,162</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3.57</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4.60</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6,860</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Options vested or expected to vest as of June 30, 2022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2"/><w:szCs w:val="22"/><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5,504,030</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5.61</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6.38</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7,414</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color w:val="rgba(0,0,0,1)"/><w:sz w:val="20"/><w:szCs w:val="20"/><w:b w:val="0"/><w:bCs w:val="0"/><w:shd w:val="clear" w:fill="rgba(0,0,0,0)"/></w:rPr><w:t xml:space="preserve">The aggregate intrinsic value of stock options is calculated as the difference between the exercise price of the stock options and the fair value of the Company’s Class A common stock for those stock options that have exercise prices lower than the fair value of the Company’s Class A common stock.</w:t></w:r><w:r><w:rPr><w:rFonts w:ascii="Times New Roman" w:hAnsi="Times New Roman" w:eastAsia="Times New Roman" w:cs="Times New Roman"/><w:color w:val="rgba(0,0,0,1)"/><w:sz w:val="20"/><w:szCs w:val="20"/><w:b w:val="0"/><w:bCs w:val="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The total fair value of options vested during the six months ended June 30, 2022 and 2021 was</w:t></w:r><w:r><w:rPr><w:rFonts w:ascii="Times New Roman" w:hAnsi="Times New Roman" w:eastAsia="Times New Roman" w:cs="Times New Roman"/><w:color w:val="rgba(0,0,0,1)"/><w:sz w:val="20"/><w:szCs w:val="20"/><w:b w:val="0"/><w:bCs w:val="0"/><w:shd w:val="clear" w:fill="rgba(0,0,0,0)"/></w:rPr><w:t xml:space="preserve"> $</w:t></w:r><w:r><w:rPr><w:rFonts w:ascii="Times New Roman" w:hAnsi="Times New Roman" w:eastAsia="Times New Roman" w:cs="Times New Roman"/><w:color w:val="rgba(0,0,0,1)"/><w:sz w:val="20"/><w:szCs w:val="20"/><w:b w:val="0"/><w:bCs w:val="0"/><w:shd w:val="clear" w:fill="rgba(0,0,0,0)"/></w:rPr><w:t xml:space="preserve">2,029</w:t></w:r><w:r><w:rPr><w:rFonts w:ascii="Times New Roman" w:hAnsi="Times New Roman" w:eastAsia="Times New Roman" w:cs="Times New Roman"/><w:color w:val="rgba(0,0,0,1)"/><w:sz w:val="20"/><w:szCs w:val="20"/><w:b w:val="0"/><w:bCs w:val="0"/><w:shd w:val="clear" w:fill="rgba(0,0,0,0)"/></w:rPr><w:t xml:space="preserve"> a</w:t></w:r><w:r><w:rPr><w:rFonts w:ascii="Times New Roman" w:hAnsi="Times New Roman" w:eastAsia="Times New Roman" w:cs="Times New Roman"/><w:color w:val="rgba(0,0,0,1)"/><w:sz w:val="20"/><w:szCs w:val="20"/><w:b w:val="0"/><w:bCs w:val="0"/><w:shd w:val="clear" w:fill="rgba(0,0,0,0)"/></w:rPr><w:t xml:space="preserve">nd $</w:t></w:r><w:r><w:rPr><w:rFonts w:ascii="Times New Roman" w:hAnsi="Times New Roman" w:eastAsia="Times New Roman" w:cs="Times New Roman"/><w:color w:val="rgba(0,0,0,1)"/><w:sz w:val="20"/><w:szCs w:val="20"/><w:b w:val="0"/><w:bCs w:val="0"/><w:shd w:val="clear" w:fill="rgba(0,0,0,0)"/></w:rPr><w:t xml:space="preserve">586</w:t></w:r><w:r><w:rPr><w:rFonts w:ascii="Times New Roman" w:hAnsi="Times New Roman" w:eastAsia="Times New Roman" w:cs="Times New Roman"/><w:color w:val="rgba(0,0,0,1)"/><w:sz w:val="20"/><w:szCs w:val="20"/><w:b w:val="0"/><w:bCs w:val="0"/><w:shd w:val="clear" w:fill="rgba(0,0,0,0)"/></w:rPr><w:t xml:space="preserve">, respectively.</w:t></w:r><w:r><w:rPr><w:rFonts w:ascii="Times New Roman" w:hAnsi="Times New Roman" w:eastAsia="Times New Roman" w:cs="Times New Roman"/><w:color w:val="rgba(0,0,0,1)"/><w:sz w:val="20"/><w:szCs w:val="20"/><w:b w:val="0"/><w:bCs w:val="0"/></w:rPr><w:t xml:space="preserve"> </w:t></w:r></w:p><w:p><w:pPr><w:jc w:val="center"/><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18</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As of June 30, 2022, the total unrecognized stock compensation expense related to unvested stock options expected to vest was $</w:t></w:r><w:r><w:rPr><w:rFonts w:ascii="Times New Roman" w:hAnsi="Times New Roman" w:eastAsia="Times New Roman" w:cs="Times New Roman"/><w:color w:val="rgba(0,0,0,1)"/><w:sz w:val="20"/><w:szCs w:val="20"/><w:b w:val="0"/><w:bCs w:val="0"/><w:shd w:val="clear" w:fill="rgba(0,0,0,0)"/></w:rPr><w:t xml:space="preserve">7,106</w:t></w:r><w:r><w:rPr><w:rFonts w:ascii="Times New Roman" w:hAnsi="Times New Roman" w:eastAsia="Times New Roman" w:cs="Times New Roman"/><w:color w:val="rgba(0,0,0,1)"/><w:sz w:val="20"/><w:szCs w:val="20"/><w:b w:val="0"/><w:bCs w:val="0"/><w:shd w:val="clear" w:fill="rgba(0,0,0,0)"/></w:rPr><w:t xml:space="preserve"> and was expected to be recognized over a weighted-average perio</w:t></w:r><w:r><w:rPr><w:rFonts w:ascii="Times New Roman" w:hAnsi="Times New Roman" w:eastAsia="Times New Roman" w:cs="Times New Roman"/><w:color w:val="rgba(0,0,0,1)"/><w:sz w:val="20"/><w:szCs w:val="20"/><w:b w:val="0"/><w:bCs w:val="0"/><w:shd w:val="clear" w:fill="rgba(0,0,0,0)"/></w:rPr><w:t xml:space="preserve">d of </w:t></w:r><w:r><w:rPr><w:rFonts w:ascii="Times New Roman" w:hAnsi="Times New Roman" w:eastAsia="Times New Roman" w:cs="Times New Roman"/><w:color w:val="rgba(0,0,0,1)"/><w:sz w:val="20"/><w:szCs w:val="20"/><w:b w:val="0"/><w:bCs w:val="0"/><w:shd w:val="clear" w:fill="rgba(0,0,0,0)"/></w:rPr><w:t xml:space="preserve">3.06</w:t></w:r><w:r><w:rPr><w:rFonts w:ascii="Times New Roman" w:hAnsi="Times New Roman" w:eastAsia="Times New Roman" w:cs="Times New Roman"/><w:color w:val="rgba(0,0,0,1)"/><w:sz w:val="20"/><w:szCs w:val="20"/><w:b w:val="0"/><w:bCs w:val="0"/><w:shd w:val="clear" w:fill="rgba(0,0,0,0)"/></w:rPr><w:t xml:space="preserve"> years.</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shd w:val="clear" w:fill="rgba(0,0,0,0)"/></w:rPr><w:t xml:space="preserve">16. Net Inco</w:t></w:r><w:r><w:rPr><w:rFonts w:ascii="Times New Roman" w:hAnsi="Times New Roman" w:eastAsia="Times New Roman" w:cs="Times New Roman"/><w:color w:val="rgba(0,0,0,1)"/><w:sz w:val="20"/><w:szCs w:val="20"/><w:b w:val="1"/><w:bCs w:val="1"/><w:shd w:val="clear" w:fill="rgba(0,0,0,0)"/></w:rPr><w:t xml:space="preserve">me (Loss) per Share (EPS)</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Basic EPS is calculated by dividing net income (loss) by the weighted-average number of shares outstanding during the period. Diluted EPS is calculated by dividing net income (loss) by the weighted-average number of shares outstanding plus the dilutive effect, if any, of outstanding equity awards using the treasury stock method which includes consideration of unrecognized compensation expenses as additional proceeds.</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A reconciliation of the numerator and denominator used in the calculation of the basic and diluted net inco</w:t></w:r><w:r><w:rPr><w:rFonts w:ascii="Times New Roman" w:hAnsi="Times New Roman" w:eastAsia="Times New Roman" w:cs="Times New Roman"/><w:color w:val="rgba(0,0,0,1)"/><w:sz w:val="20"/><w:szCs w:val="20"/><w:b w:val="0"/><w:bCs w:val="0"/><w:shd w:val="clear" w:fill="rgba(0,0,0,0)"/></w:rPr><w:t xml:space="preserve">me (loss) attributable to the Class A common stockholders is as follows.</w:t></w:r><w:r><w:rPr><w:rFonts w:ascii="Times New Roman" w:hAnsi="Times New Roman" w:eastAsia="Times New Roman" w:cs="Times New Roman"/><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400" w:type="dxa"/><w:gridCol w:w="6700" w:type="dxa"/><w:gridCol w:w="0" w:type="dxa"/><w:gridCol w:w="46750" w:type="dxa"/><w:gridCol w:w="0" w:type="dxa"/><w:gridCol w:w="6700" w:type="dxa"/><w:gridCol w:w="0" w:type="dxa"/><w:gridCol w:w="2150" w:type="dxa"/><w:gridCol w:w="0" w:type="dxa"/><w:gridCol w:w="6700" w:type="dxa"/><w:gridCol w:w="0" w:type="dxa"/><w:gridCol w:w="46750" w:type="dxa"/><w:gridCol w:w="0" w:type="dxa"/><w:gridCol w:w="6700" w:type="dxa"/><w:gridCol w:w="0" w:type="dxa"/><w:gridCol w:w="4449999999999950" w:type="dxa"/><w:gridCol w:w="0" w:type="dxa"/></w:tblGrid><w:tblPr><w:tblW w:w="0" w:type="pct"/><w:tblLayout w:type="autofit"/></w:tblPr><w:tr><w:trPr/><w:tc><w:tcPr><w:tcW w:w="400" w:type="pct"/><w:noWrap/></w:tcPr><w:p><w:pPr/></w:p></w:tc><w:tc><w:tcPr><w:tcW w:w="6700" w:type="pct"/><w:noWrap/></w:tcPr><w:p><w:pPr/></w:p></w:tc><w:tc><w:tcPr><w:tcW w:w="0" w:type="pct"/><w:noWrap/></w:tcPr><w:p><w:pPr/></w:p></w:tc><w:tc><w:tcPr><w:tcW w:w="46750" w:type="pct"/><w:noWrap/></w:tcPr><w:p><w:pPr/></w:p></w:tc><w:tc><w:tcPr><w:tcW w:w="0" w:type="pct"/><w:noWrap/></w:tcPr><w:p><w:pPr/></w:p></w:tc><w:tc><w:tcPr><w:tcW w:w="6700" w:type="pct"/><w:noWrap/></w:tcPr><w:p><w:pPr/></w:p></w:tc><w:tc><w:tcPr><w:tcW w:w="0" w:type="pct"/><w:noWrap/></w:tcPr><w:p><w:pPr/></w:p></w:tc><w:tc><w:tcPr><w:tcW w:w="2150" w:type="pct"/><w:noWrap/></w:tcPr><w:p><w:pPr/></w:p></w:tc><w:tc><w:tcPr><w:tcW w:w="0" w:type="pct"/><w:noWrap/></w:tcPr><w:p><w:pPr/></w:p></w:tc><w:tc><w:tcPr><w:tcW w:w="6700" w:type="pct"/><w:noWrap/></w:tcPr><w:p><w:pPr/></w:p></w:tc><w:tc><w:tcPr><w:tcW w:w="0" w:type="pct"/><w:noWrap/></w:tcPr><w:p><w:pPr/></w:p></w:tc><w:tc><w:tcPr><w:tcW w:w="46750" w:type="pct"/><w:noWrap/></w:tcPr><w:p><w:pPr/></w:p></w:tc><w:tc><w:tcPr><w:tcW w:w="0" w:type="pct"/><w:noWrap/></w:tcPr><w:p><w:pPr/></w:p></w:tc><w:tc><w:tcPr><w:tcW w:w="6700" w:type="pct"/><w:noWrap/></w:tcPr><w:p><w:pPr/></w:p></w:tc><w:tc><w:tcPr><w:tcW w:w="0" w:type="pct"/><w:noWrap/></w:tcPr><w:p><w:pPr/></w:p></w:tc><w:tc><w:tcPr><w:tcW w:w="4449999999999950" w:type="pct"/><w:noWrap/></w:tcPr><w:p><w:pPr/></w:p></w:tc><w:tc><w:tcPr><w:tcW w:w="0" w:type="pct"/><w:noWrap/></w:tcPr><w:p><w:pPr/></w:p></w:tc></w:tr><w:tr><w:trPr><w:trHeight w:val="160" w:hRule="exact"/></w:trPr><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Three Months Ended</w:t></w:r><w:br/><w:r><w:rPr><w:rFonts w:ascii="Times New Roman" w:hAnsi="Times New Roman" w:eastAsia="Times New Roman" w:cs="Times New Roman"/><w:color w:val="rgba(0,0,0,1)"/><w:sz w:val="16"/><w:szCs w:val="16"/><w:b w:val="1"/><w:bCs w:val="1"/><w:shd w:val="clear" w:fill="rgba(0,0,0,0)"/></w:rPr><w:t xml:space="preserve"> June 30,</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Six Months Ended</w:t></w:r><w:br/><w:r><w:rPr><w:rFonts w:ascii="Times New Roman" w:hAnsi="Times New Roman" w:eastAsia="Times New Roman" w:cs="Times New Roman"/><w:color w:val="rgba(0,0,0,1)"/><w:sz w:val="16"/><w:szCs w:val="16"/><w:b w:val="1"/><w:bCs w:val="1"/><w:shd w:val="clear" w:fill="rgba(0,0,0,0)"/></w:rPr><w:t xml:space="preserve"> June 30,</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tcBorders><w:bottom w:val="single" w:sz="5000" w:color="solid"/></w:tcBorders><w:shd w:val="clear" w:fill="rgba(255,255,255,1)"/><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2022</w:t></w:r></w:p></w:tc><w:tc><w:tcPr><w:tcW w:w="0" w:type="pct"/><w:vAlign w:val="center"/><w:tcBorders><w:bottom w:val="single" w:sz="500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tcBorders><w:bottom w:val="single" w:sz="5000" w:color="solid"/></w:tcBorders><w:shd w:val="clear" w:fill="rgba(255,255,255,1)"/><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2021</w:t></w:r></w:p></w:tc><w:tc><w:tcPr><w:tcW w:w="0" w:type="pct"/><w:vAlign w:val="center"/><w:tcBorders><w:bottom w:val="single" w:sz="500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tcBorders><w:bottom w:val="single" w:sz="5000" w:color="solid"/></w:tcBorders><w:shd w:val="clear" w:fill="rgba(255,255,255,1)"/><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2022</w:t></w:r></w:p></w:tc><w:tc><w:tcPr><w:tcW w:w="0" w:type="pct"/><w:vAlign w:val="center"/><w:tcBorders><w:bottom w:val="single" w:sz="500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tcBorders><w:bottom w:val="single" w:sz="5000" w:color="solid"/></w:tcBorders><w:shd w:val="clear" w:fill="rgba(255,255,255,1)"/><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2021</w:t></w:r></w:p></w:tc><w:tc><w:tcPr><w:tcW w:w="0" w:type="pct"/><w:vAlign w:val="center"/><w:tcBorders><w:bottom w:val="single" w:sz="5000" w:color="solid"/></w:tcBorders><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Numerator:</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Net Income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8,744</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20,687</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7,831</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30,630</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Denominator:</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Weighted average common shares outstanding —basic</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129,635,682</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128,235,224</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129,214,541</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128,053,654</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Dilutive effect of restricted stock units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147,600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508,015</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205,838</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517,837</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Dilutive effect of options</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2,817,297</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5,245,174</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3,284,827</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5,149,700</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Weighted-average common shares outstanding—diluted</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132,600,579</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133,988,413</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132,705,206</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133,721,191</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Earnings per share—basic</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0.07</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0.16</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0.06</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0.24</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Earnings per share—diluted</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0.07</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0.15</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0.06</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6"/><w:szCs w:val="16"/><w:b w:val="0"/><w:bCs w:val="0"/><w:shd w:val="clear" w:fill="rgba(0,0,0,0)"/></w:rPr><w:t xml:space="preserve">0.23</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16"/><w:szCs w:val="16"/><w:shd w:val="clear" w:fill="rgba(207,240,252,1)"/></w:rPr><w:t xml:space="preserve"> </w:t></w:r></w:p></w:tc></w:tr></w:tbl><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For the three and six months ended June 30, 2022, outstanding stock-based awards of </w:t></w:r><w:r><w:rPr><w:rFonts w:ascii="Times New Roman" w:hAnsi="Times New Roman" w:eastAsia="Times New Roman" w:cs="Times New Roman"/><w:color w:val="rgba(0,0,0,1)"/><w:sz w:val="20"/><w:szCs w:val="20"/><w:b w:val="0"/><w:bCs w:val="0"/><w:shd w:val="clear" w:fill="rgba(0,0,0,0)"/></w:rPr><w:t xml:space="preserve">3,755,497</w:t></w:r><w:r><w:rPr><w:rFonts w:ascii="Times New Roman" w:hAnsi="Times New Roman" w:eastAsia="Times New Roman" w:cs="Times New Roman"/><w:color w:val="rgba(0,0,0,1)"/><w:sz w:val="20"/><w:szCs w:val="20"/><w:b w:val="0"/><w:bCs w:val="0"/><w:shd w:val="clear" w:fill="rgba(0,0,0,0)"/></w:rPr><w:t xml:space="preserve"> and </w:t></w:r><w:r><w:rPr><w:rFonts w:ascii="Times New Roman" w:hAnsi="Times New Roman" w:eastAsia="Times New Roman" w:cs="Times New Roman"/><w:color w:val="rgba(0,0,0,1)"/><w:sz w:val="20"/><w:szCs w:val="20"/><w:b w:val="0"/><w:bCs w:val="0"/><w:shd w:val="clear" w:fill="rgba(0,0,0,0)"/></w:rPr><w:t xml:space="preserve">3,378,641</w:t></w:r><w:r><w:rPr><w:rFonts w:ascii="Times New Roman" w:hAnsi="Times New Roman" w:eastAsia="Times New Roman" w:cs="Times New Roman"/><w:color w:val="rgba(0,0,0,1)"/><w:sz w:val="20"/><w:szCs w:val="20"/><w:b w:val="0"/><w:bCs w:val="0"/><w:shd w:val="clear" w:fill="rgba(0,0,0,0)"/></w:rPr><w:t xml:space="preserve"> w</w:t></w:r><w:r><w:rPr><w:rFonts w:ascii="Times New Roman" w:hAnsi="Times New Roman" w:eastAsia="Times New Roman" w:cs="Times New Roman"/><w:color w:val="rgba(0,0,0,1)"/><w:sz w:val="20"/><w:szCs w:val="20"/><w:b w:val="0"/><w:bCs w:val="0"/><w:shd w:val="clear" w:fill="rgba(0,0,0,0)"/></w:rPr><w:t xml:space="preserve">ere excluded from the diluted EPS calculation as they were anti-dilutive. For the three and six months ended June 30, 2021, outstanding stock-based awards of </w:t></w:r><w:r><w:rPr><w:rFonts w:ascii="Times New Roman" w:hAnsi="Times New Roman" w:eastAsia="Times New Roman" w:cs="Times New Roman"/><w:color w:val="rgba(0,0,0,1)"/><w:sz w:val="20"/><w:szCs w:val="20"/><w:b w:val="0"/><w:bCs w:val="0"/><w:shd w:val="clear" w:fill="rgba(0,0,0,0)"/></w:rPr><w:t xml:space="preserve">923,907</w:t></w:r><w:r><w:rPr><w:rFonts w:ascii="Times New Roman" w:hAnsi="Times New Roman" w:eastAsia="Times New Roman" w:cs="Times New Roman"/><w:color w:val="rgba(0,0,0,1)"/><w:sz w:val="20"/><w:szCs w:val="20"/><w:b w:val="0"/><w:bCs w:val="0"/><w:shd w:val="clear" w:fill="rgba(0,0,0,0)"/></w:rPr><w:t xml:space="preserve"> and </w:t></w:r><w:r><w:rPr><w:rFonts w:ascii="Times New Roman" w:hAnsi="Times New Roman" w:eastAsia="Times New Roman" w:cs="Times New Roman"/><w:color w:val="rgba(0,0,0,1)"/><w:sz w:val="20"/><w:szCs w:val="20"/><w:b w:val="0"/><w:bCs w:val="0"/><w:shd w:val="clear" w:fill="rgba(0,0,0,0)"/></w:rPr><w:t xml:space="preserve">967,146</w:t></w:r><w:r><w:rPr><w:rFonts w:ascii="Times New Roman" w:hAnsi="Times New Roman" w:eastAsia="Times New Roman" w:cs="Times New Roman"/><w:color w:val="rgba(0,0,0,1)"/><w:sz w:val="20"/><w:szCs w:val="20"/><w:b w:val="0"/><w:bCs w:val="0"/><w:shd w:val="clear" w:fill="rgba(0,0,0,0)"/></w:rPr><w:t xml:space="preserve"> were excluded from the diluted EPS calculation as they were anti-dilutive.</w:t></w:r><w:r><w:rPr><w:rFonts w:ascii="Times New Roman" w:hAnsi="Times New Roman" w:eastAsia="Times New Roman" w:cs="Times New Roman"/><w:color w:val="rgba(0,0,0,1)"/><w:sz w:val="20"/><w:szCs w:val="20"/><w:b w:val="0"/><w:bCs w:val="0"/></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shd w:val="clear" w:fill="rgba(0,0,0,0)"/></w:rPr><w:t xml:space="preserve">17. Leases</w:t></w:r><w:r><w:rPr><w:rFonts w:ascii="Times New Roman" w:hAnsi="Times New Roman" w:eastAsia="Times New Roman" w:cs="Times New Roman"/><w:color w:val="rgba(0,0,0,1)"/><w:sz w:val="20"/><w:szCs w:val="20"/><w:b w:val="1"/><w:b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The Company leases are primarily real estate, equipment and vehicle leases.</w:t></w:r><w:r><w:rPr><w:rFonts w:ascii="Times New Roman" w:hAnsi="Times New Roman" w:eastAsia="Times New Roman" w:cs="Times New Roman"/><w:color w:val="rgba(0,0,0,1)"/><w:sz w:val="20"/><w:szCs w:val="20"/><w:b w:val="0"/><w:bCs w:val="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The Company leases real estate for office, lab, warehouse and production space under noncancelable leases that expire at various dates through 2035, subject to the Company’s options to terminate or renew certain leases for an additional </w:t></w:r><w:r><w:rPr><w:rFonts w:ascii="Times New Roman" w:hAnsi="Times New Roman" w:eastAsia="Times New Roman" w:cs="Times New Roman"/><w:color w:val="rgba(0,0,0,1)"/><w:sz w:val="20"/><w:szCs w:val="20"/><w:b w:val="0"/><w:bCs w:val="0"/><w:shd w:val="clear" w:fill="rgba(0,0,0,0)"/></w:rPr><w:t xml:space="preserve">five</w:t></w:r><w:r><w:rPr><w:rFonts w:ascii="Times New Roman" w:hAnsi="Times New Roman" w:eastAsia="Times New Roman" w:cs="Times New Roman"/><w:color w:val="rgba(0,0,0,1)"/><w:sz w:val="20"/><w:szCs w:val="20"/><w:b w:val="0"/><w:bCs w:val="0"/><w:shd w:val="clear" w:fill="rgba(0,0,0,0)"/></w:rPr><w:t xml:space="preserve"> to </w:t></w:r><w:r><w:rPr><w:rFonts w:ascii="Times New Roman" w:hAnsi="Times New Roman" w:eastAsia="Times New Roman" w:cs="Times New Roman"/><w:color w:val="rgba(0,0,0,1)"/><w:sz w:val="20"/><w:szCs w:val="20"/><w:b w:val="0"/><w:bCs w:val="0"/><w:shd w:val="clear" w:fill="rgba(0,0,0,0)"/></w:rPr><w:t xml:space="preserve">ten years</w:t></w:r><w:r><w:rPr><w:rFonts w:ascii="Times New Roman" w:hAnsi="Times New Roman" w:eastAsia="Times New Roman" w:cs="Times New Roman"/><w:color w:val="rgba(0,0,0,1)"/><w:sz w:val="20"/><w:szCs w:val="20"/><w:b w:val="0"/><w:bCs w:val="0"/><w:shd w:val="clear" w:fill="rgba(0,0,0,0)"/></w:rPr><w:t xml:space="preserve">. The Company leases vehicles under operating leases for certain employees and has fleet services agreements for service on these vehicles. The minimum lease term for each newly leased vehicle is </w:t></w:r><w:r><w:rPr><w:rFonts w:ascii="Times New Roman" w:hAnsi="Times New Roman" w:eastAsia="Times New Roman" w:cs="Times New Roman"/><w:color w:val="rgba(0,0,0,1)"/><w:sz w:val="20"/><w:szCs w:val="20"/><w:b w:val="0"/><w:bCs w:val="0"/><w:shd w:val="clear" w:fill="rgba(0,0,0,0)"/></w:rPr><w:t xml:space="preserve">367</w:t></w:r><w:r><w:rPr><w:rFonts w:ascii="Times New Roman" w:hAnsi="Times New Roman" w:eastAsia="Times New Roman" w:cs="Times New Roman"/><w:color w:val="rgba(0,0,0,1)"/><w:sz w:val="20"/><w:szCs w:val="20"/><w:b w:val="0"/><w:bCs w:val="0"/><w:shd w:val="clear" w:fill="rgba(0,0,0,0)"/></w:rPr><w:t xml:space="preserve"> days with renewal options. The Company may terminate the vehicle lease after the minimum lease term upon thirty days’ prior notice. The Company also leases other equipment under noncancelable operating and finance leases that expire at various dates through 2025.</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On January 1, 2013, the Company entered into finance lease arrangements with 65 Dan Road SPE, LLC, 85 Dan Road Associates, LLC, Dan Road Equity I, LLC and 275 Dan Road SPE, LLC for office and laboratory space in Canton, Massachusetts. 65 Dan Road SPE, LLC, 85 Dan Road Associates, LLC, Dan Road Equity I, LLC and 275 Dan Road SPE, LLC are related parties as the owners of these entities are also stockholders of the Company. In August 2021, the Company purchased the building (the “275 Dan Road Building”) under the lease with 275 Dan Road SPE, LLC for $</w:t></w:r><w:r><w:rPr><w:rFonts w:ascii="Times New Roman" w:hAnsi="Times New Roman" w:eastAsia="Times New Roman" w:cs="Times New Roman"/><w:color w:val="rgba(0,0,0,1)"/><w:sz w:val="20"/><w:szCs w:val="20"/><w:b w:val="0"/><w:bCs w:val="0"/><w:shd w:val="clear" w:fill="rgba(0,0,0,0)"/></w:rPr><w:t xml:space="preserve">6,013</w:t></w:r><w:r><w:rPr><w:rFonts w:ascii="Times New Roman" w:hAnsi="Times New Roman" w:eastAsia="Times New Roman" w:cs="Times New Roman"/><w:color w:val="rgba(0,0,0,1)"/><w:sz w:val="20"/><w:szCs w:val="20"/><w:b w:val="0"/><w:bCs w:val="0"/><w:shd w:val="clear" w:fill="rgba(0,0,0,0)"/></w:rPr><w:t xml:space="preserve"> and the lease was terminated. The Company recorded an asset of $</w:t></w:r><w:r><w:rPr><w:rFonts w:ascii="Times New Roman" w:hAnsi="Times New Roman" w:eastAsia="Times New Roman" w:cs="Times New Roman"/><w:color w:val="rgba(0,0,0,1)"/><w:sz w:val="20"/><w:szCs w:val="20"/><w:b w:val="0"/><w:bCs w:val="0"/><w:shd w:val="clear" w:fill="rgba(0,0,0,0)"/></w:rPr><w:t xml:space="preserve">4,943</w:t></w:r><w:r><w:rPr><w:rFonts w:ascii="Times New Roman" w:hAnsi="Times New Roman" w:eastAsia="Times New Roman" w:cs="Times New Roman"/><w:color w:val="rgba(0,0,0,1)"/><w:sz w:val="20"/><w:szCs w:val="20"/><w:b w:val="0"/><w:bCs w:val="0"/><w:shd w:val="clear" w:fill="rgba(0,0,0,0)"/></w:rPr><w:t xml:space="preserve"> to buildings within fixed asset, net in accordance with ASC 842-20-40-2 </w:t></w:r><w:r><w:rPr><w:rFonts w:ascii="Times New Roman" w:hAnsi="Times New Roman" w:eastAsia="Times New Roman" w:cs="Times New Roman"/><w:color w:val="rgba(0,0,0,1)"/><w:sz w:val="20"/><w:szCs w:val="20"/><w:b w:val="0"/><w:bCs w:val="0"/><w:i w:val="1"/><w:iCs w:val="1"/><w:shd w:val="clear" w:fill="rgba(0,0,0,0)"/></w:rPr><w:t xml:space="preserve">Purchase of the Underlying Asset </w:t></w:r><w:r><w:rPr><w:rFonts w:ascii="Times New Roman" w:hAnsi="Times New Roman" w:eastAsia="Times New Roman" w:cs="Times New Roman"/><w:color w:val="rgba(0,0,0,1)"/><w:sz w:val="20"/><w:szCs w:val="20"/><w:b w:val="0"/><w:bCs w:val="0"/><w:shd w:val="clear" w:fill="rgba(0,0,0,0)"/></w:rPr><w:t xml:space="preserve">to account for the purchase of the leased asset. Other than the lease with 275 Dan Road SPE, LLC which was terminated in August 2021, the remaining three leases were set to terminate on December 31, 2022 and each contained a renewal option for a five-year period with a rental rate at the greater of (i) rent for the last year of the prior term, or (ii) the then fair market value. The Company exercised the option to extend the leases for an additional five years in November 2021 and is currently negotiating the rental rate for those properties with the landlord. The Company used its best estimate to calculate the lease assets and liabilities in the renewal period and reassessed the classification for these leases according to ASC 842-10-25-1 </w:t></w:r><w:r><w:rPr><w:rFonts w:ascii="Times New Roman" w:hAnsi="Times New Roman" w:eastAsia="Times New Roman" w:cs="Times New Roman"/><w:color w:val="rgba(0,0,0,1)"/><w:sz w:val="20"/><w:szCs w:val="20"/><w:b w:val="0"/><w:bCs w:val="0"/><w:i w:val="1"/><w:iCs w:val="1"/><w:shd w:val="clear" w:fill="rgba(0,0,0,0)"/></w:rPr><w:t xml:space="preserve">Lease Classification. </w:t></w:r><w:r><w:rPr><w:rFonts w:ascii="Times New Roman" w:hAnsi="Times New Roman" w:eastAsia="Times New Roman" w:cs="Times New Roman"/><w:color w:val="rgba(0,0,0,1)"/><w:sz w:val="20"/><w:szCs w:val="20"/><w:b w:val="0"/><w:bCs w:val="0"/><w:shd w:val="clear" w:fill="rgba(0,0,0,0)"/></w:rPr><w:t xml:space="preserve">As a result, these leases were reclassified from finance leases to operating leases</w:t></w:r><w:r><w:rPr><w:rFonts w:ascii="Times New Roman" w:hAnsi="Times New Roman" w:eastAsia="Times New Roman" w:cs="Times New Roman"/><w:color w:val="rgba(0,0,0,1)"/><w:sz w:val="20"/><w:szCs w:val="20"/><w:b w:val="0"/><w:bCs w:val="0"/><w:i w:val="1"/><w:iCs w:val="1"/><w:shd w:val="clear" w:fill="rgba(0,0,0,0)"/></w:rPr><w:t xml:space="preserve">. </w:t></w:r><w:r><w:rPr><w:rFonts w:ascii="Times New Roman" w:hAnsi="Times New Roman" w:eastAsia="Times New Roman" w:cs="Times New Roman"/><w:color w:val="rgba(0,0,0,1)"/><w:sz w:val="20"/><w:szCs w:val="20"/><w:b w:val="0"/><w:bCs w:val="0"/><w:shd w:val="clear" w:fill="rgba(0,0,0,0)"/></w:rPr><w:t xml:space="preserve">The related finance lease assets and liabilities were reclassified to operating lease right-of-use assets and operating lease obligations on the consolidated balance sheet as of December 31, 2021. Due to the competitive real estate market for biotechnology companies in Massachusetts, the negotiated rental rate could differ materially from management’s estimates, which may significantly increase the lease assets and lease liabilities currently reported on the consolidated financial statements.</w:t></w:r></w:p><w:p><w:pPr><w:jc w:val="center"/><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19</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The Company owes some accrued but unpaid lease obligations under the aforementioned leases as detailed in the section below. Effective April 1, 2019, the Company agreed to accrue interest on the accrued but unpaid lease obligations at an interest rate equal to the rate charged under the 2019 Credit Agreement. These accrued but unpaid lease obligations as well as the accrued interest on these obligations were subordinated to the 2019 Credit Agreement. With the termination of the 2019 Credit Agreement and the execution of the 2021 Credit Agreement (see Note “13. Long-Term Debt Obligations”) in August 2021, these obligations are no longer subordinated to the Company’s existing loans.</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 In connection with the purchase of the 275 Dan Road Building in August 2021, the Company paid </w:t></w:r><w:r><w:rPr><w:rFonts w:ascii="Times New Roman" w:hAnsi="Times New Roman" w:eastAsia="Times New Roman" w:cs="Times New Roman"/><w:color w:val="rgba(0,0,0,1)"/><w:sz w:val="20"/><w:szCs w:val="20"/><w:b w:val="0"/><w:bCs w:val="0"/><w:shd w:val="clear" w:fill="rgba(0,0,0,0)"/></w:rPr><w:t xml:space="preserve">50</w:t></w:r><w:r><w:rPr><w:rFonts w:ascii="Times New Roman" w:hAnsi="Times New Roman" w:eastAsia="Times New Roman" w:cs="Times New Roman"/><w:color w:val="rgba(0,0,0,1)"/><w:sz w:val="20"/><w:szCs w:val="20"/><w:b w:val="0"/><w:bCs w:val="0"/><w:shd w:val="clear" w:fill="rgba(0,0,0,0)"/></w:rPr><w:t xml:space="preserve">% of the accrued but unpaid lease obligations associated with this building and the accrued interest thereof. The remaining balance is being paid in five quarterly installments ending on January 3, 2023. The interest on the balance of the accrued but unpaid lease obligations associated with the 275 Dan Road Building was reduced to an annual simple rate of </w:t></w:r><w:r><w:rPr><w:rFonts w:ascii="Times New Roman" w:hAnsi="Times New Roman" w:eastAsia="Times New Roman" w:cs="Times New Roman"/><w:color w:val="rgba(0,0,0,1)"/><w:sz w:val="20"/><w:szCs w:val="20"/><w:b w:val="0"/><w:bCs w:val="0"/><w:shd w:val="clear" w:fill="rgba(0,0,0,0)"/></w:rPr><w:t xml:space="preserve">4.5</w:t></w: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The accrued but unpaid lease obligations as well as the related interest accruals are shown below.</w:t></w:r><w:r><w:rPr><w:rFonts w:ascii="Times New Roman" w:hAnsi="Times New Roman" w:eastAsia="Times New Roman" w:cs="Times New Roman"/><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11800" w:type="dxa"/><w:gridCol w:w="22250" w:type="dxa"/><w:gridCol w:w="0" w:type="dxa"/><w:gridCol w:w="10250" w:type="dxa"/><w:gridCol w:w="0" w:type="dxa"/><w:gridCol w:w="22250" w:type="dxa"/><w:gridCol w:w="0" w:type="dxa"/><w:gridCol w:w="33450" w:type="dxa"/><w:gridCol w:w="0" w:type="dxa"/></w:tblGrid><w:tblPr><w:tblW w:w="0" w:type="pct"/><w:tblLayout w:type="autofit"/></w:tblPr><w:tr><w:trPr/><w:tc><w:tcPr><w:tcW w:w="11800" w:type="pct"/><w:noWrap/></w:tcPr><w:p><w:pPr/></w:p></w:tc><w:tc><w:tcPr><w:tcW w:w="22250" w:type="pct"/><w:noWrap/></w:tcPr><w:p><w:pPr/></w:p></w:tc><w:tc><w:tcPr><w:tcW w:w="0" w:type="pct"/><w:noWrap/></w:tcPr><w:p><w:pPr/></w:p></w:tc><w:tc><w:tcPr><w:tcW w:w="10250" w:type="pct"/><w:noWrap/></w:tcPr><w:p><w:pPr/></w:p></w:tc><w:tc><w:tcPr><w:tcW w:w="0" w:type="pct"/><w:noWrap/></w:tcPr><w:p><w:pPr/></w:p></w:tc><w:tc><w:tcPr><w:tcW w:w="22250" w:type="pct"/><w:noWrap/></w:tcPr><w:p><w:pPr/></w:p></w:tc><w:tc><w:tcPr><w:tcW w:w="0" w:type="pct"/><w:noWrap/></w:tcPr><w:p><w:pPr/></w:p></w:tc><w:tc><w:tcPr><w:tcW w:w="33450" w:type="pct"/><w:noWrap/></w:tcPr><w:p><w:pPr/></w:p></w:tc><w:tc><w:tcPr><w:tcW w:w="0" w:type="pct"/><w:noWrap/></w:tcPr><w:p><w:pPr/></w:p></w:tc></w:tr><w:tr><w:trPr><w:trHeight w:val="16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June 30,</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December 31,</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Principal portion of rent in arrears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6,792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7,246</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Unpaid operating and common area maintenance costs</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558</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Total accrued but unpaid lease obligations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6,792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7,804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 </w:t></w: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Accrued interest on accrued but unpaid lease obligations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1,957</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1,938</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color w:val="rgba(0,0,0,1)"/><w:sz w:val="20"/><w:szCs w:val="20"/><w:b w:val="0"/><w:bCs w:val="0"/><w:shd w:val="clear" w:fill="rgba(0,0,0,0)"/></w:rPr><w:t xml:space="preserve">The principal portion of rent in arrears was included in the short-term portion of operating lease obligations other than the balance related to the 275 Dan Road Building that was included in accrued expenses and other current liabilities on the consolidated balance sheets as of June 30, 2022 and December 31, 2021. The unpaid operating and common area maintenance costs, and the accrued interest on the accrued but unpaid lease obligations were included in accrued expenses and other current liabilities on the consolidated balance sheets as of June 30, 2022 and December 31, 2021.</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The components of lease co</w:t></w:r><w:r><w:rPr><w:rFonts w:ascii="Times New Roman" w:hAnsi="Times New Roman" w:eastAsia="Times New Roman" w:cs="Times New Roman"/><w:color w:val="rgba(0,0,0,1)"/><w:sz w:val="20"/><w:szCs w:val="20"/><w:b w:val="0"/><w:bCs w:val="0"/><w:shd w:val="clear" w:fill="rgba(0,0,0,0)"/></w:rPr><w:t xml:space="preserve">st were as follows:</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24400" w:type="dxa"/><w:gridCol w:w="33250" w:type="dxa"/><w:gridCol w:w="19550" w:type="dxa"/><w:gridCol w:w="21600" w:type="dxa"/><w:gridCol w:w="0" w:type="dxa"/><w:gridCol w:w="43700" w:type="dxa"/><w:gridCol w:w="0" w:type="dxa"/><w:gridCol w:w="21600" w:type="dxa"/><w:gridCol w:w="0" w:type="dxa"/><w:gridCol w:w="35849999999999950" w:type="dxa"/><w:gridCol w:w="0" w:type="dxa"/></w:tblGrid><w:tblPr><w:tblW w:w="0" w:type="pct"/><w:tblLayout w:type="autofit"/></w:tblPr><w:tr><w:trPr/><w:tc><w:tcPr><w:tcW w:w="24400" w:type="pct"/><w:noWrap/></w:tcPr><w:p><w:pPr/></w:p></w:tc><w:tc><w:tcPr><w:tcW w:w="33250" w:type="pct"/><w:noWrap/></w:tcPr><w:p><w:pPr/></w:p></w:tc><w:tc><w:tcPr><w:tcW w:w="19550" w:type="pct"/><w:noWrap/></w:tcPr><w:p><w:pPr/></w:p></w:tc><w:tc><w:tcPr><w:tcW w:w="21600" w:type="pct"/><w:noWrap/></w:tcPr><w:p><w:pPr/></w:p></w:tc><w:tc><w:tcPr><w:tcW w:w="0" w:type="pct"/><w:noWrap/></w:tcPr><w:p><w:pPr/></w:p></w:tc><w:tc><w:tcPr><w:tcW w:w="43700" w:type="pct"/><w:noWrap/></w:tcPr><w:p><w:pPr/></w:p></w:tc><w:tc><w:tcPr><w:tcW w:w="0" w:type="pct"/><w:noWrap/></w:tcPr><w:p><w:pPr/></w:p></w:tc><w:tc><w:tcPr><w:tcW w:w="21600" w:type="pct"/><w:noWrap/></w:tcPr><w:p><w:pPr/></w:p></w:tc><w:tc><w:tcPr><w:tcW w:w="0" w:type="pct"/><w:noWrap/></w:tcPr><w:p><w:pPr/></w:p></w:tc><w:tc><w:tcPr><w:tcW w:w="35849999999999950" w:type="pct"/><w:noWrap/></w:tcPr><w:p><w:pPr/></w:p></w:tc><w:tc><w:tcPr><w:tcW w:w="0" w:type="pct"/><w:noWrap/></w:tcPr><w:p><w:pP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Classification</w:t></w:r></w:p></w:tc><w:tc><w:tcPr><w:tcW w:w="0" w:type="pct"/><w:vAlign w:val="top"/><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Six Months Ended</w:t></w:r><w:br/><w:r><w:rPr><w:rFonts w:ascii="Times New Roman" w:hAnsi="Times New Roman" w:eastAsia="Times New Roman" w:cs="Times New Roman"/><w:color w:val="rgba(0,0,0,1)"/><w:sz w:val="16"/><w:szCs w:val="16"/><w:b w:val="1"/><w:bCs w:val="1"/><w:shd w:val="clear" w:fill="rgba(0,0,0,0)"/></w:rPr><w:t xml:space="preserve">June 30,</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Finance lease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Amortization of right-of-use assets</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COGS and SG&A</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213</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603</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Interest on lease liabilities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Interest Expense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661</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Total Finance lease cost</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220</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1,264</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Operating lease cost</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COGS, R&D, SG&A</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4,808</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3,015</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Short-term lease cost</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COGS, R&D, SG&A</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1,391</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1,414</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Variable lease cost</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COGS, R&D, SG&A</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2,201</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2,449</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Total lease cost</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8,620</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8,142</w:t></w:r></w:p></w:tc><w:tc><w:tcPr><w:tcW w:w="0" w:type="pct"/><w:vAlign w:val="bottom"/><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color w:val="rgba(0,0,0,1)"/><w:sz w:val="20"/><w:szCs w:val="20"/><w:b w:val="0"/><w:bCs w:val="0"/><w:shd w:val="clear" w:fill="rgba(0,0,0,0)"/></w:rPr><w:t xml:space="preserve">Supplemental balance sheet information related to finance leases was as follows:</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29950" w:type="dxa"/><w:gridCol w:w="21600" w:type="dxa"/><w:gridCol w:w="0" w:type="dxa"/><w:gridCol w:w="49200" w:type="dxa"/><w:gridCol w:w="0" w:type="dxa"/><w:gridCol w:w="21600" w:type="dxa"/><w:gridCol w:w="0" w:type="dxa"/><w:gridCol w:w="27600" w:type="dxa"/><w:gridCol w:w="0" w:type="dxa"/></w:tblGrid><w:tblPr><w:tblW w:w="0" w:type="pct"/><w:tblLayout w:type="autofit"/></w:tblPr><w:tr><w:trPr/><w:tc><w:tcPr><w:tcW w:w="29950" w:type="pct"/><w:noWrap/></w:tcPr><w:p><w:pPr/></w:p></w:tc><w:tc><w:tcPr><w:tcW w:w="21600" w:type="pct"/><w:noWrap/></w:tcPr><w:p><w:pPr/></w:p></w:tc><w:tc><w:tcPr><w:tcW w:w="0" w:type="pct"/><w:noWrap/></w:tcPr><w:p><w:pPr/></w:p></w:tc><w:tc><w:tcPr><w:tcW w:w="49200" w:type="pct"/><w:noWrap/></w:tcPr><w:p><w:pPr/></w:p></w:tc><w:tc><w:tcPr><w:tcW w:w="0" w:type="pct"/><w:noWrap/></w:tcPr><w:p><w:pPr/></w:p></w:tc><w:tc><w:tcPr><w:tcW w:w="21600" w:type="pct"/><w:noWrap/></w:tcPr><w:p><w:pPr/></w:p></w:tc><w:tc><w:tcPr><w:tcW w:w="0" w:type="pct"/><w:noWrap/></w:tcPr><w:p><w:pPr/></w:p></w:tc><w:tc><w:tcPr><w:tcW w:w="27600" w:type="pct"/><w:noWrap/></w:tcPr><w:p><w:pPr/></w:p></w:tc><w:tc><w:tcPr><w:tcW w:w="0" w:type="pct"/><w:noWrap/></w:tcPr><w:p><w:pPr/></w:p></w:tc></w:tr><w:tr><w:trPr><w:trHeight w:val="16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June 30, 2022</w:t></w:r></w:p></w:tc><w:tc><w:tcPr><w:tcW w:w="0" w:type="pct"/><w:vAlign w:val="center"/><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December 31, 2021</w:t></w:r></w:p></w:tc><w:tc><w:tcPr><w:tcW w:w="0" w:type="pct"/><w:vAlign w:val="center"/><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Property and equipment, gross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1,174</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1,174</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Accumulated depreciation</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1,174</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961</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r><w:trPr><w:trHeight w:val="200" w:hRule="exact"/></w:trPr><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Property</w:t></w:r><w:r><w:rPr><w:rFonts w:ascii="Times New Roman" w:hAnsi="Times New Roman" w:eastAsia="Times New Roman" w:cs="Times New Roman"/><w:color w:val="rgba(0,0,0,1)"/><w:sz w:val="20"/><w:szCs w:val="20"/><w:b w:val="0"/><w:bCs w:val="0"/><w:shd w:val="clear" w:fill="rgba(0,0,0,0)"/></w:rPr><w:t xml:space="preserve"> and equipment, net</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213</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 </w:t></w: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Finance lease obligations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200</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20</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color w:val="rgba(0,0,0,1)"/><w:sz w:val="20"/><w:szCs w:val="20"/><w:b w:val="0"/><w:bCs w:val="0"/><w:shd w:val="clear" w:fill="rgba(0,0,0,0)"/></w:rPr><w:t xml:space="preserve">Supplemental cash flow information related to leases was as follows:</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11350" w:type="dxa"/><w:gridCol w:w="22250" w:type="dxa"/><w:gridCol w:w="0" w:type="dxa"/><w:gridCol w:w="18750" w:type="dxa"/><w:gridCol w:w="0" w:type="dxa"/><w:gridCol w:w="22250" w:type="dxa"/><w:gridCol w:w="0" w:type="dxa"/><w:gridCol w:w="25350" w:type="dxa"/><w:gridCol w:w="0" w:type="dxa"/></w:tblGrid><w:tblPr><w:tblW w:w="0" w:type="pct"/><w:tblLayout w:type="autofit"/></w:tblPr><w:tr><w:trPr/><w:tc><w:tcPr><w:tcW w:w="11350" w:type="pct"/><w:noWrap/></w:tcPr><w:p><w:pPr/></w:p></w:tc><w:tc><w:tcPr><w:tcW w:w="22250" w:type="pct"/><w:noWrap/></w:tcPr><w:p><w:pPr/></w:p></w:tc><w:tc><w:tcPr><w:tcW w:w="0" w:type="pct"/><w:noWrap/></w:tcPr><w:p><w:pPr/></w:p></w:tc><w:tc><w:tcPr><w:tcW w:w="18750" w:type="pct"/><w:noWrap/></w:tcPr><w:p><w:pPr/></w:p></w:tc><w:tc><w:tcPr><w:tcW w:w="0" w:type="pct"/><w:noWrap/></w:tcPr><w:p><w:pPr/></w:p></w:tc><w:tc><w:tcPr><w:tcW w:w="22250" w:type="pct"/><w:noWrap/></w:tcPr><w:p><w:pPr/></w:p></w:tc><w:tc><w:tcPr><w:tcW w:w="0" w:type="pct"/><w:noWrap/></w:tcPr><w:p><w:pPr/></w:p></w:tc><w:tc><w:tcPr><w:tcW w:w="25350" w:type="pct"/><w:noWrap/></w:tcPr><w:p><w:pPr/></w:p></w:tc><w:tc><w:tcPr><w:tcW w:w="0" w:type="pct"/><w:noWrap/></w:tcPr><w:p><w:pPr/></w:p></w:tc></w:tr><w:tr><w:trPr><w:trHeight w:val="16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tcBorders><w:bottom w:val="single" w:sz="5000" w:color="solid"/></w:tcBorders><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Six Months Ended</w:t></w:r><w:br/><w:r><w:rPr><w:rFonts w:ascii="Times New Roman" w:hAnsi="Times New Roman" w:eastAsia="Times New Roman" w:cs="Times New Roman"/><w:color w:val="rgba(0,0,0,1)"/><w:sz w:val="16"/><w:szCs w:val="16"/><w:b w:val="1"/><w:bCs w:val="1"/><w:shd w:val="clear" w:fill="rgba(0,0,0,0)"/></w:rPr><w:t xml:space="preserve"> June 30,</w:t></w:r></w:p></w:tc><w:tc><w:tcPr><w:tcW w:w="0" w:type="pct"/><w:vAlign w:val="top"/><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Cash paid for amounts included in the measurement of lease liabilities: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Operating cash flows for operating leases</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4,630</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3,228</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Operating cash flows for finance leases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1,022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Financing cash flows for finance leases</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200</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1,374</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Right-of-use assets obtained in exchange for lease obligations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Operating leases</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364</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29,092</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Finance leases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32550" w:type="dxa"/><w:gridCol w:w="21650" w:type="dxa"/><w:gridCol w:w="0" w:type="dxa"/><w:gridCol w:w="11900" w:type="dxa"/><w:gridCol w:w="0" w:type="dxa"/><w:gridCol w:w="20300" w:type="dxa"/><w:gridCol w:w="0" w:type="dxa"/><w:gridCol w:w="13600" w:type="dxa"/><w:gridCol w:w="0" w:type="dxa"/></w:tblGrid><w:tblPr><w:tblW w:w="0" w:type="pct"/><w:tblLayout w:type="autofit"/></w:tblPr><w:tr><w:trPr/><w:tc><w:tcPr><w:tcW w:w="32550" w:type="pct"/><w:noWrap/></w:tcPr><w:p><w:pPr/></w:p></w:tc><w:tc><w:tcPr><w:tcW w:w="21650" w:type="pct"/><w:noWrap/></w:tcPr><w:p><w:pPr/></w:p></w:tc><w:tc><w:tcPr><w:tcW w:w="0" w:type="pct"/><w:noWrap/></w:tcPr><w:p><w:pPr/></w:p></w:tc><w:tc><w:tcPr><w:tcW w:w="11900" w:type="pct"/><w:noWrap/></w:tcPr><w:p><w:pPr/></w:p></w:tc><w:tc><w:tcPr><w:tcW w:w="0" w:type="pct"/><w:noWrap/></w:tcPr><w:p><w:pPr/></w:p></w:tc><w:tc><w:tcPr><w:tcW w:w="20300" w:type="pct"/><w:noWrap/></w:tcPr><w:p><w:pPr/></w:p></w:tc><w:tc><w:tcPr><w:tcW w:w="0" w:type="pct"/><w:noWrap/></w:tcPr><w:p><w:pPr/></w:p></w:tc><w:tc><w:tcPr><w:tcW w:w="13600" w:type="pct"/><w:noWrap/></w:tcPr><w:p><w:pPr/></w:p></w:tc><w:tc><w:tcPr><w:tcW w:w="0" w:type="pct"/><w:noWrap/></w:tcPr><w:p><w:pPr/></w:p></w:tc></w:tr><w:tr><w:trPr><w:trHeight w:val="16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June 30, 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December 31, 2021</w:t></w:r></w:p></w:tc><w:tc><w:tcPr><w:tcW w:w="0" w:type="pct"/><w:vAlign w:val="center"/><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Weighted-average remaining lease term</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Finance leases</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0.45</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Operating leases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7.86</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8.22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16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June 30, 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December 31, 2021</w:t></w:r></w:p></w:tc><w:tc><w:tcPr><w:tcW w:w="0" w:type="pct"/><w:vAlign w:val="center"/><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Weighted-average discount rate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gridSpan w:val="2"/><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Finance leases</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11.30</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r><w:trPr><w:trHeight w:val="200" w:hRule="exact"/></w:trPr><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Operating leases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4.54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4.51</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color w:val="rgba(0,0,0,1)"/><w:sz w:val="20"/><w:szCs w:val="20"/><w:b w:val="0"/><w:bCs w:val="0"/><w:shd w:val="clear" w:fill="rgba(0,0,0,0)"/></w:rPr><w:t xml:space="preserve">As of June 30, 2022, maturities of lease liabilities were as follows:</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5050" w:type="dxa"/><w:gridCol w:w="19600" w:type="dxa"/><w:gridCol w:w="0" w:type="dxa"/><w:gridCol w:w="4249999999999950" w:type="dxa"/><w:gridCol w:w="0" w:type="dxa"/><w:gridCol w:w="19600" w:type="dxa"/><w:gridCol w:w="0" w:type="dxa"/><w:gridCol w:w="150" w:type="dxa"/><w:gridCol w:w="0" w:type="dxa"/></w:tblGrid><w:tblPr><w:tblW w:w="0" w:type="pct"/><w:tblLayout w:type="autofit"/></w:tblPr><w:tr><w:trPr/><w:tc><w:tcPr><w:tcW w:w="5050" w:type="pct"/><w:noWrap/></w:tcPr><w:p><w:pPr/></w:p></w:tc><w:tc><w:tcPr><w:tcW w:w="19600" w:type="pct"/><w:noWrap/></w:tcPr><w:p><w:pPr/></w:p></w:tc><w:tc><w:tcPr><w:tcW w:w="0" w:type="pct"/><w:noWrap/></w:tcPr><w:p><w:pPr/></w:p></w:tc><w:tc><w:tcPr><w:tcW w:w="4249999999999950" w:type="pct"/><w:noWrap/></w:tcPr><w:p><w:pPr/></w:p></w:tc><w:tc><w:tcPr><w:tcW w:w="0" w:type="pct"/><w:noWrap/></w:tcPr><w:p><w:pPr/></w:p></w:tc><w:tc><w:tcPr><w:tcW w:w="19600" w:type="pct"/><w:noWrap/></w:tcPr><w:p><w:pPr/></w:p></w:tc><w:tc><w:tcPr><w:tcW w:w="0" w:type="pct"/><w:noWrap/></w:tcPr><w:p><w:pPr/></w:p></w:tc><w:tc><w:tcPr><w:tcW w:w="150" w:type="pct"/><w:noWrap/></w:tcPr><w:p><w:pPr/></w:p></w:tc><w:tc><w:tcPr><w:tcW w:w="0" w:type="pct"/><w:noWrap/></w:tcPr><w:p><w:pPr/></w:p></w:tc></w:tr><w:tr><w:trPr><w:trHeight w:val="16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Operating leases</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Finance leases</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2022 (remaining 6 months)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9,713</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2023</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8,165</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2024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7,315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2025</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7,526</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2026</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7,435</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Thereafter</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25,966</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Total lease payments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66,120</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Less: interest</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r><w:rPr><w:rFonts w:ascii="Times New Roman" w:hAnsi="Times New Roman" w:eastAsia="Times New Roman" w:cs="Times New Roman"/><w:color w:val="rgba(0,0,0,1)"/><w:sz w:val="20"/><w:szCs w:val="20"/><w:b w:val="0"/><w:bCs w:val="0"/><w:shd w:val="clear" w:fill="rgba(0,0,0,0)"/></w:rPr><w:t xml:space="preserve">10,549</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Total lease liabilities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55,571</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color w:val="rgba(0,0,0,1)"/><w:sz w:val="20"/><w:szCs w:val="20"/><w:b w:val="1"/><w:bCs w:val="1"/><w:shd w:val="clear" w:fill="rgba(0,0,0,0)"/></w:rPr><w:t xml:space="preserve">18. Commitments and Contingencies</w:t></w:r></w:p><w:p><w:pPr><w:jc w:val="start"/><w:ind w:left="0" w:right="0" w:firstLine="0" w:hanging="0"/><w:spacing w:before="160" w:after="0" w:line="276" w:lineRule="auto"/></w:pPr><w:r><w:rPr><w:rFonts w:ascii="Times New Roman" w:hAnsi="Times New Roman" w:eastAsia="Times New Roman" w:cs="Times New Roman"/><w:color w:val="rgba(0,0,0,1)"/><w:sz w:val="20"/><w:szCs w:val="20"/><w:b w:val="1"/><w:bCs w:val="1"/><w:i w:val="1"/><w:iCs w:val="1"/><w:shd w:val="clear" w:fill="rgba(0,0,0,0)"/></w:rPr><w:t xml:space="preserve">Royalties</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The Company entered into a license agreement with a university for certain patent rights related to the development, use, and production of one of its advanced wound care products. Under this agreement, the Company incurred a royalty based on a percentage of net product sales, for the use of these patents until the patents expired, which was in November 2006. Accrued royalties totaled $</w:t></w:r><w:r><w:rPr><w:rFonts w:ascii="Times New Roman" w:hAnsi="Times New Roman" w:eastAsia="Times New Roman" w:cs="Times New Roman"/><w:color w:val="rgba(0,0,0,1)"/><w:sz w:val="20"/><w:szCs w:val="20"/><w:b w:val="0"/><w:bCs w:val="0"/><w:shd w:val="clear" w:fill="rgba(0,0,0,0)"/></w:rPr><w:t xml:space="preserve">1,187</w:t></w:r><w:r><w:rPr><w:rFonts w:ascii="Times New Roman" w:hAnsi="Times New Roman" w:eastAsia="Times New Roman" w:cs="Times New Roman"/><w:color w:val="rgba(0,0,0,1)"/><w:sz w:val="20"/><w:szCs w:val="20"/><w:b w:val="0"/><w:bCs w:val="0"/><w:shd w:val="clear" w:fill="rgba(0,0,0,0)"/></w:rPr><w:t xml:space="preserve"> as of June 30, 2022 and December 31, 2021, respectively, and were classified as part of accrued expenses and other current liabilities on the Company’s consolidated balance sheets. There was </w:t></w:r><w:r><w:rPr><w:rFonts w:ascii="Times New Roman" w:hAnsi="Times New Roman" w:eastAsia="Times New Roman" w:cs="Times New Roman"/><w:color w:val="rgba(0,0,0,1)"/><w:sz w:val="20"/><w:szCs w:val="20"/><w:b w:val="0"/><w:bCs w:val="0"/><w:shd w:val="clear" w:fill="rgba(0,0,0,0)"/></w:rPr><w:t xml:space="preserve">no</w:t></w:r><w:r><w:rPr><w:rFonts w:ascii="Times New Roman" w:hAnsi="Times New Roman" w:eastAsia="Times New Roman" w:cs="Times New Roman"/><w:color w:val="rgba(0,0,0,1)"/><w:sz w:val="20"/><w:szCs w:val="20"/><w:b w:val="0"/><w:bCs w:val="0"/><w:shd w:val="clear" w:fill="rgba(0,0,0,0)"/></w:rPr><w:t xml:space="preserve"> royalty expense incurred during the three and six months ended June 30, 2022 or 2021 related to this agreement.</w:t></w:r><w:r><w:rPr><w:rFonts w:ascii="Times New Roman" w:hAnsi="Times New Roman" w:eastAsia="Times New Roman" w:cs="Times New Roman"/><w:color w:val="rgba(0,0,0,1)"/><w:sz w:val="20"/><w:szCs w:val="20"/><w:b w:val="0"/><w:bCs w:val="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In October 2017, the Company entered into a license agreement with a third party. Under the license agreement, the Company is required to pay royalties based on a percentage of net sales of the licensed product that occur, after December 31, 2017, through the expiration of the underlying patent in October 2026, subject to minimum royalty payment provisions. The Company recorded royalty expense of</w:t></w:r><w:r><w:rPr><w:rFonts w:ascii="Times New Roman" w:hAnsi="Times New Roman" w:eastAsia="Times New Roman" w:cs="Times New Roman"/><w:color w:val="rgba(0,0,0,1)"/><w:sz w:val="20"/><w:szCs w:val="20"/><w:b w:val="0"/><w:bCs w:val="0"/><w:shd w:val="clear" w:fill="rgba(0,0,0,0)"/></w:rPr><w:t xml:space="preserve"> $</w:t></w:r><w:r><w:rPr><w:rFonts w:ascii="Times New Roman" w:hAnsi="Times New Roman" w:eastAsia="Times New Roman" w:cs="Times New Roman"/><w:color w:val="rgba(0,0,0,1)"/><w:sz w:val="20"/><w:szCs w:val="20"/><w:b w:val="0"/><w:bCs w:val="0"/><w:shd w:val="clear" w:fill="rgba(0,0,0,0)"/></w:rPr><w:t xml:space="preserve">2,104</w:t></w:r><w:r><w:rPr><w:rFonts w:ascii="Times New Roman" w:hAnsi="Times New Roman" w:eastAsia="Times New Roman" w:cs="Times New Roman"/><w:color w:val="rgba(0,0,0,1)"/><w:sz w:val="20"/><w:szCs w:val="20"/><w:b w:val="0"/><w:bCs w:val="0"/><w:shd w:val="clear" w:fill="rgba(0,0,0,0)"/></w:rPr><w:t xml:space="preserve"> and $</w:t></w:r><w:r><w:rPr><w:rFonts w:ascii="Times New Roman" w:hAnsi="Times New Roman" w:eastAsia="Times New Roman" w:cs="Times New Roman"/><w:color w:val="rgba(0,0,0,1)"/><w:sz w:val="20"/><w:szCs w:val="20"/><w:b w:val="0"/><w:bCs w:val="0"/><w:shd w:val="clear" w:fill="rgba(0,0,0,0)"/></w:rPr><w:t xml:space="preserve">1,134</w:t></w:r><w:r><w:rPr><w:rFonts w:ascii="Times New Roman" w:hAnsi="Times New Roman" w:eastAsia="Times New Roman" w:cs="Times New Roman"/><w:color w:val="rgba(0,0,0,1)"/><w:sz w:val="20"/><w:szCs w:val="20"/><w:b w:val="0"/><w:bCs w:val="0"/><w:shd w:val="clear" w:fill="rgba(0,0,0,0)"/></w:rPr><w:t xml:space="preserve"> during the three months ended June 30, 2022 and 2021, respectively, and $</w:t></w:r><w:r><w:rPr><w:rFonts w:ascii="Times New Roman" w:hAnsi="Times New Roman" w:eastAsia="Times New Roman" w:cs="Times New Roman"/><w:color w:val="rgba(0,0,0,1)"/><w:sz w:val="20"/><w:szCs w:val="20"/><w:b w:val="0"/><w:bCs w:val="0"/><w:shd w:val="clear" w:fill="rgba(0,0,0,0)"/></w:rPr><w:t xml:space="preserve">3,705</w:t></w:r><w:r><w:rPr><w:rFonts w:ascii="Times New Roman" w:hAnsi="Times New Roman" w:eastAsia="Times New Roman" w:cs="Times New Roman"/><w:color w:val="rgba(0,0,0,1)"/><w:sz w:val="20"/><w:szCs w:val="20"/><w:b w:val="0"/><w:bCs w:val="0"/><w:shd w:val="clear" w:fill="rgba(0,0,0,0)"/></w:rPr><w:t xml:space="preserve"> and $</w:t></w:r><w:r><w:rPr><w:rFonts w:ascii="Times New Roman" w:hAnsi="Times New Roman" w:eastAsia="Times New Roman" w:cs="Times New Roman"/><w:color w:val="rgba(0,0,0,1)"/><w:sz w:val="20"/><w:szCs w:val="20"/><w:b w:val="0"/><w:bCs w:val="0"/><w:shd w:val="clear" w:fill="rgba(0,0,0,0)"/></w:rPr><w:t xml:space="preserve">2,355</w:t></w:r><w:r><w:rPr><w:rFonts w:ascii="Times New Roman" w:hAnsi="Times New Roman" w:eastAsia="Times New Roman" w:cs="Times New Roman"/><w:color w:val="rgba(0,0,0,1)"/><w:sz w:val="20"/><w:szCs w:val="20"/><w:b w:val="0"/><w:bCs w:val="0"/><w:shd w:val="clear" w:fill="rgba(0,0,0,0)"/></w:rPr><w:t xml:space="preserve"> during the six months ended June 30, 2022 and 2021, respectively, within selling, general and administrative expenses on the consolidated statements of operations.</w:t></w:r><w:r><w:rPr><w:rFonts w:ascii="Times New Roman" w:hAnsi="Times New Roman" w:eastAsia="Times New Roman" w:cs="Times New Roman"/><w:color w:val="rgba(0,0,0,1)"/><w:sz w:val="20"/><w:szCs w:val="20"/><w:b w:val="0"/><w:bCs w:val="0"/></w:rPr><w:t xml:space="preserve"> </w:t></w:r></w:p><w:p><w:pPr><w:jc w:val="center"/><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21</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i w:val="1"/><w:iCs w:val="1"/><w:shd w:val="clear" w:fill="rgba(0,0,0,0)"/></w:rPr><w:t xml:space="preserve">Legal Matters</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In conducting its activities, the Company, from time to time, is subject to various claims and also has claims against others. In management’s opinion, the ultimate resolution of such claims would not have a material effect on the financial position, operating results or cash flows of the Company. The Company accrues for these claims when amounts due are probable and estimable. The Compan</w:t></w:r><w:r><w:rPr><w:rFonts w:ascii="Times New Roman" w:hAnsi="Times New Roman" w:eastAsia="Times New Roman" w:cs="Times New Roman"/><w:color w:val="rgba(0,0,0,1)"/><w:sz w:val="20"/><w:szCs w:val="20"/><w:b w:val="0"/><w:bCs w:val="0"/><w:shd w:val="clear" w:fill="rgba(0,0,0,0)"/></w:rPr><w:t xml:space="preserve">y accrued $</w:t></w:r><w:r><w:rPr><w:rFonts w:ascii="Times New Roman" w:hAnsi="Times New Roman" w:eastAsia="Times New Roman" w:cs="Times New Roman"/><w:color w:val="rgba(0,0,0,1)"/><w:sz w:val="20"/><w:szCs w:val="20"/><w:b w:val="0"/><w:bCs w:val="0"/><w:shd w:val="clear" w:fill="rgba(0,0,0,0)"/></w:rPr><w:t xml:space="preserve">150</w:t></w:r><w:r><w:rPr><w:rFonts w:ascii="Times New Roman" w:hAnsi="Times New Roman" w:eastAsia="Times New Roman" w:cs="Times New Roman"/><w:color w:val="rgba(0,0,0,1)"/><w:sz w:val="20"/><w:szCs w:val="20"/><w:b w:val="0"/><w:bCs w:val="0"/><w:shd w:val="clear" w:fill="rgba(0,0,0,0)"/></w:rPr><w:t xml:space="preserve"> as of J</w:t></w:r><w:r><w:rPr><w:rFonts w:ascii="Times New Roman" w:hAnsi="Times New Roman" w:eastAsia="Times New Roman" w:cs="Times New Roman"/><w:color w:val="rgba(0,0,0,1)"/><w:sz w:val="20"/><w:szCs w:val="20"/><w:b w:val="0"/><w:bCs w:val="0"/><w:shd w:val="clear" w:fill="rgba(0,0,0,0)"/></w:rPr><w:t xml:space="preserve">une 30, 2022 and December 31, 2021 for certain pending lawsuits.</w:t></w:r><w:r><w:rPr><w:rFonts w:ascii="Times New Roman" w:hAnsi="Times New Roman" w:eastAsia="Times New Roman" w:cs="Times New Roman"/><w:color w:val="rgba(0,0,0,1)"/><w:sz w:val="20"/><w:szCs w:val="20"/><w:b w:val="0"/><w:bCs w:val="0"/></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shd w:val="clear" w:fill="rgba(0,0,0,0)"/></w:rPr><w:t xml:space="preserve">19. Related Party Transactions</w:t></w:r><w:r><w:rPr><w:rFonts w:ascii="Times New Roman" w:hAnsi="Times New Roman" w:eastAsia="Times New Roman" w:cs="Times New Roman"/><w:color w:val="rgba(0,0,0,1)"/><w:sz w:val="20"/><w:szCs w:val="20"/><w:b w:val="1"/><w:b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Lease obligations to affiliates, including accrued but unpaid lease obligations, and purchase of an asset under a finance lease with an affiliate are further described in Note “17. Leases”.</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During 2010, the Company’s Board of Directors approved a loan program that permitted the Company to make loans to three executives of the Company (the “Employer Loans”) to (i) provide them with liquidity (“Liquidity Loans”) and (ii) fund the exercise of vested stock options (“Option Loans”). Two of the executives left the Company in 2014. The Employer Loans matured with all principal and accrued interest due on the tenth anniversary of the issuance date of each subject loan. Interest on the Employer Loans was at various rates ranging from </w:t></w:r><w:r><w:rPr><w:rFonts w:ascii="Times New Roman" w:hAnsi="Times New Roman" w:eastAsia="Times New Roman" w:cs="Times New Roman"/><w:color w:val="rgba(0,0,0,1)"/><w:sz w:val="20"/><w:szCs w:val="20"/><w:b w:val="0"/><w:bCs w:val="0"/><w:shd w:val="clear" w:fill="rgba(0,0,0,0)"/></w:rPr><w:t xml:space="preserve">2.30</w:t></w:r><w:r><w:rPr><w:rFonts w:ascii="Times New Roman" w:hAnsi="Times New Roman" w:eastAsia="Times New Roman" w:cs="Times New Roman"/><w:color w:val="rgba(0,0,0,1)"/><w:sz w:val="20"/><w:szCs w:val="20"/><w:b w:val="0"/><w:bCs w:val="0"/><w:shd w:val="clear" w:fill="rgba(0,0,0,0)"/></w:rPr><w:t xml:space="preserve">% - </w:t></w:r><w:r><w:rPr><w:rFonts w:ascii="Times New Roman" w:hAnsi="Times New Roman" w:eastAsia="Times New Roman" w:cs="Times New Roman"/><w:color w:val="rgba(0,0,0,1)"/><w:sz w:val="20"/><w:szCs w:val="20"/><w:b w:val="0"/><w:bCs w:val="0"/><w:shd w:val="clear" w:fill="rgba(0,0,0,0)"/></w:rPr><w:t xml:space="preserve">3.86</w:t></w:r><w:r><w:rPr><w:rFonts w:ascii="Times New Roman" w:hAnsi="Times New Roman" w:eastAsia="Times New Roman" w:cs="Times New Roman"/><w:color w:val="rgba(0,0,0,1)"/><w:sz w:val="20"/><w:szCs w:val="20"/><w:b w:val="0"/><w:bCs w:val="0"/><w:shd w:val="clear" w:fill="rgba(0,0,0,0)"/></w:rPr><w:t xml:space="preserve">% per annum, compounded annually. The Employer Loans were secured by shares of the Company’s Class A common stock held by the former executives. With respect to the Liquidity Loans, the Company had no personal recourse against the borrowers beyond the pledged shares. As of December 31, 2020, Liquidity Loans and Option Loans to one former executive were outstanding with an aggregate principal balance of $</w:t></w:r><w:r><w:rPr><w:rFonts w:ascii="Times New Roman" w:hAnsi="Times New Roman" w:eastAsia="Times New Roman" w:cs="Times New Roman"/><w:color w:val="rgba(0,0,0,1)"/><w:sz w:val="20"/><w:szCs w:val="20"/><w:b w:val="0"/><w:bCs w:val="0"/><w:shd w:val="clear" w:fill="rgba(0,0,0,0)"/></w:rPr><w:t xml:space="preserve">100</w:t></w:r><w:r><w:rPr><w:rFonts w:ascii="Times New Roman" w:hAnsi="Times New Roman" w:eastAsia="Times New Roman" w:cs="Times New Roman"/><w:color w:val="rgba(0,0,0,1)"/><w:sz w:val="20"/><w:szCs w:val="20"/><w:b w:val="0"/><w:bCs w:val="0"/><w:shd w:val="clear" w:fill="rgba(0,0,0,0)"/></w:rPr><w:t xml:space="preserve"> and $</w:t></w:r><w:r><w:rPr><w:rFonts w:ascii="Times New Roman" w:hAnsi="Times New Roman" w:eastAsia="Times New Roman" w:cs="Times New Roman"/><w:color w:val="rgba(0,0,0,1)"/><w:sz w:val="20"/><w:szCs w:val="20"/><w:b w:val="0"/><w:bCs w:val="0"/><w:shd w:val="clear" w:fill="rgba(0,0,0,0)"/></w:rPr><w:t xml:space="preserve">334</w:t></w:r><w:r><w:rPr><w:rFonts w:ascii="Times New Roman" w:hAnsi="Times New Roman" w:eastAsia="Times New Roman" w:cs="Times New Roman"/><w:color w:val="rgba(0,0,0,1)"/><w:sz w:val="20"/><w:szCs w:val="20"/><w:b w:val="0"/><w:bCs w:val="0"/><w:shd w:val="clear" w:fill="rgba(0,0,0,0)"/></w:rPr><w:t xml:space="preserve">, respectively. During the three months ended March 31, 2021, this former executive paid off the outstanding principal balance of his Employer Loans and the related interest receivable. As a result, the Company recorded $</w:t></w:r><w:r><w:rPr><w:rFonts w:ascii="Times New Roman" w:hAnsi="Times New Roman" w:eastAsia="Times New Roman" w:cs="Times New Roman"/><w:color w:val="rgba(0,0,0,1)"/><w:sz w:val="20"/><w:szCs w:val="20"/><w:b w:val="0"/><w:bCs w:val="0"/><w:shd w:val="clear" w:fill="rgba(0,0,0,0)"/></w:rPr><w:t xml:space="preserve">179</w:t></w:r><w:r><w:rPr><w:rFonts w:ascii="Times New Roman" w:hAnsi="Times New Roman" w:eastAsia="Times New Roman" w:cs="Times New Roman"/><w:color w:val="rgba(0,0,0,1)"/><w:sz w:val="20"/><w:szCs w:val="20"/><w:b w:val="0"/><w:bCs w:val="0"/><w:shd w:val="clear" w:fill="rgba(0,0,0,0)"/></w:rPr><w:t xml:space="preserve"> as a recovery of the previously reserved related party receivables within selling, general and administrative expenses on the consolidated statement of operations for the three months ended March 31, 2021. The $</w:t></w:r><w:r><w:rPr><w:rFonts w:ascii="Times New Roman" w:hAnsi="Times New Roman" w:eastAsia="Times New Roman" w:cs="Times New Roman"/><w:color w:val="rgba(0,0,0,1)"/><w:sz w:val="20"/><w:szCs w:val="20"/><w:b w:val="0"/><w:bCs w:val="0"/><w:shd w:val="clear" w:fill="rgba(0,0,0,0)"/></w:rPr><w:t xml:space="preserve">334</w:t></w:r><w:r><w:rPr><w:rFonts w:ascii="Times New Roman" w:hAnsi="Times New Roman" w:eastAsia="Times New Roman" w:cs="Times New Roman"/><w:color w:val="rgba(0,0,0,1)"/><w:sz w:val="20"/><w:szCs w:val="20"/><w:b w:val="0"/><w:bCs w:val="0"/><w:shd w:val="clear" w:fill="rgba(0,0,0,0)"/></w:rPr><w:t xml:space="preserve"> of the repaid principal balance of the Option Loans was recorded to equity.</w:t></w:r><w:r><w:rPr><w:rFonts w:ascii="Times New Roman" w:hAnsi="Times New Roman" w:eastAsia="Times New Roman" w:cs="Times New Roman"/><w:color w:val="rgba(0,0,0,1)"/><w:sz w:val="20"/><w:szCs w:val="20"/><w:b w:val="0"/><w:bCs w:val="0"/></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shd w:val="clear" w:fill="rgba(0,0,0,0)"/></w:rPr><w:t xml:space="preserve">20. Taxes</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The Company is principally subject to taxation in the United States. The Company has a history of net operating losses both federally and in various states and began utilizing those losses to offset current taxable income in 2020. The Company’s wholly owned Swiss subsidiary, Organogenesis GmbH, is subject to taxation in Switzerland and has a transfer pricing arrangement in place with Organogenesis Inc., its U.S. parent and a wholly owned subsidiary of the Company.</w:t></w:r><w:r><w:rPr><w:rFonts w:ascii="Times New Roman" w:hAnsi="Times New Roman" w:eastAsia="Times New Roman" w:cs="Times New Roman"/><w:color w:val="rgba(0,0,0,1)"/><w:sz w:val="20"/><w:szCs w:val="20"/><w:b w:val="0"/><w:bCs w:val="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The income tax rate for the six months ended June 30, 2022 varied from the U.S. statutory rate of </w:t></w:r><w:r><w:rPr><w:rFonts w:ascii="Times New Roman" w:hAnsi="Times New Roman" w:eastAsia="Times New Roman" w:cs="Times New Roman"/><w:color w:val="rgba(0,0,0,1)"/><w:sz w:val="20"/><w:szCs w:val="20"/><w:b w:val="0"/><w:bCs w:val="0"/><w:shd w:val="clear" w:fill="rgba(0,0,0,0)"/></w:rPr><w:t xml:space="preserve">21</w:t></w:r><w:r><w:rPr><w:rFonts w:ascii="Times New Roman" w:hAnsi="Times New Roman" w:eastAsia="Times New Roman" w:cs="Times New Roman"/><w:color w:val="rgba(0,0,0,1)"/><w:sz w:val="20"/><w:szCs w:val="20"/><w:b w:val="0"/><w:bCs w:val="0"/><w:shd w:val="clear" w:fill="rgba(0,0,0,0)"/></w:rPr><w:t xml:space="preserve">% primarily due to the tax adjustments related to executive compensation, other permanent tax adjustments, and discrete items. Income tax expense for the six months ended June 30, 2022 </w:t></w:r><w:r><w:rPr><w:rFonts w:ascii="Times New Roman" w:hAnsi="Times New Roman" w:eastAsia="Times New Roman" w:cs="Times New Roman"/><w:color w:val="rgba(0,0,0,1)"/><w:sz w:val="20"/><w:szCs w:val="20"/><w:b w:val="0"/><w:bCs w:val="0"/><w:shd w:val="clear" w:fill="rgba(0,0,0,0)"/></w:rPr><w:t xml:space="preserve">was $</w:t></w:r><w:r><w:rPr><w:rFonts w:ascii="Times New Roman" w:hAnsi="Times New Roman" w:eastAsia="Times New Roman" w:cs="Times New Roman"/><w:color w:val="rgba(0,0,0,1)"/><w:sz w:val="20"/><w:szCs w:val="20"/><w:b w:val="0"/><w:bCs w:val="0"/><w:shd w:val="clear" w:fill="rgba(0,0,0,0)"/></w:rPr><w:t xml:space="preserve">2,485</w:t></w:r><w:r><w:rPr><w:rFonts w:ascii="Times New Roman" w:hAnsi="Times New Roman" w:eastAsia="Times New Roman" w:cs="Times New Roman"/><w:color w:val="rgba(0,0,0,1)"/><w:sz w:val="20"/><w:szCs w:val="20"/><w:b w:val="0"/><w:bCs w:val="0"/><w:shd w:val="clear" w:fill="rgba(0,0,0,0)"/></w:rPr><w:t xml:space="preserve">, wh</w:t></w:r><w:r><w:rPr><w:rFonts w:ascii="Times New Roman" w:hAnsi="Times New Roman" w:eastAsia="Times New Roman" w:cs="Times New Roman"/><w:color w:val="rgba(0,0,0,1)"/><w:sz w:val="20"/><w:szCs w:val="20"/><w:b w:val="0"/><w:bCs w:val="0"/><w:shd w:val="clear" w:fill="rgba(0,0,0,0)"/></w:rPr><w:t xml:space="preserve">ich included a discrete ta</w:t></w:r><w:r><w:rPr><w:rFonts w:ascii="Times New Roman" w:hAnsi="Times New Roman" w:eastAsia="Times New Roman" w:cs="Times New Roman"/><w:color w:val="rgba(0,0,0,1)"/><w:sz w:val="20"/><w:szCs w:val="20"/><w:b w:val="0"/><w:bCs w:val="0"/><w:shd w:val="clear" w:fill="rgba(0,0,0,0)"/></w:rPr><w:t xml:space="preserve">x expense of $</w:t></w:r><w:r><w:rPr><w:rFonts w:ascii="Times New Roman" w:hAnsi="Times New Roman" w:eastAsia="Times New Roman" w:cs="Times New Roman"/><w:color w:val="rgba(0,0,0,1)"/><w:sz w:val="20"/><w:szCs w:val="20"/><w:b w:val="0"/><w:bCs w:val="0"/><w:shd w:val="clear" w:fill="rgba(0,0,0,0)"/></w:rPr><w:t xml:space="preserve">23</w:t></w:r><w:r><w:rPr><w:rFonts w:ascii="Times New Roman" w:hAnsi="Times New Roman" w:eastAsia="Times New Roman" w:cs="Times New Roman"/><w:color w:val="rgba(0,0,0,1)"/><w:sz w:val="20"/><w:szCs w:val="20"/><w:b w:val="0"/><w:bCs w:val="0"/><w:shd w:val="clear" w:fill="rgba(0,0,0,0)"/></w:rPr><w:t xml:space="preserve"> related primarily to the interest on certain uncertain tax positions. Income tax expense for the six months ended June 30, 2021 was $</w:t></w:r><w:r><w:rPr><w:rFonts w:ascii="Times New Roman" w:hAnsi="Times New Roman" w:eastAsia="Times New Roman" w:cs="Times New Roman"/><w:color w:val="rgba(0,0,0,1)"/><w:sz w:val="20"/><w:szCs w:val="20"/><w:b w:val="0"/><w:bCs w:val="0"/><w:shd w:val="clear" w:fill="rgba(0,0,0,0)"/></w:rPr><w:t xml:space="preserve">687</w:t></w:r><w:r><w:rPr><w:rFonts w:ascii="Times New Roman" w:hAnsi="Times New Roman" w:eastAsia="Times New Roman" w:cs="Times New Roman"/><w:color w:val="rgba(0,0,0,1)"/><w:sz w:val="20"/><w:szCs w:val="20"/><w:b w:val="0"/><w:bCs w:val="0"/><w:shd w:val="clear" w:fill="rgba(0,0,0,0)"/></w:rPr><w:t xml:space="preserve">, which included a discrete tax expense of $</w:t></w:r><w:r><w:rPr><w:rFonts w:ascii="Times New Roman" w:hAnsi="Times New Roman" w:eastAsia="Times New Roman" w:cs="Times New Roman"/><w:color w:val="rgba(0,0,0,1)"/><w:sz w:val="20"/><w:szCs w:val="20"/><w:b w:val="0"/><w:bCs w:val="0"/><w:shd w:val="clear" w:fill="rgba(0,0,0,0)"/></w:rPr><w:t xml:space="preserve">20</w:t></w:r><w:r><w:rPr><w:rFonts w:ascii="Times New Roman" w:hAnsi="Times New Roman" w:eastAsia="Times New Roman" w:cs="Times New Roman"/><w:color w:val="rgba(0,0,0,1)"/><w:sz w:val="20"/><w:szCs w:val="20"/><w:b w:val="0"/><w:bCs w:val="0"/><w:shd w:val="clear" w:fill="rgba(0,0,0,0)"/></w:rPr><w:t xml:space="preserve"> related to the interest on certain uncertain tax positions.</w:t></w:r><w:r><w:rPr><w:rFonts w:ascii="Times New Roman" w:hAnsi="Times New Roman" w:eastAsia="Times New Roman" w:cs="Times New Roman"/><w:color w:val="rgba(0,0,0,1)"/><w:sz w:val="20"/><w:szCs w:val="20"/><w:b w:val="0"/><w:bCs w:val="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The Company examines all positive and negative evidence to estimate whether sufficient future taxable income in the U.S. will be generated to permit the use of existing deferred tax assets. In the fourth quarter of 2021, the Company released the valuation allowance recorded against its U.S. deferred tax assets. Upon reviewing the positive evidence of net operating loss utilization, cumulative profits, and forecasted taxable income, the Company believed that it was more likely than not that these United States deferred tax assets would be utilized. There are no material deferred tax assets in the other jurisdictions. On a quarterly basis, the Company reassesses the need for a valuation allowance on deferred income tax assets, weighing positive and negative evidence to assess the recoverability of the deferred tax assets. After assessing both the positive and negative evidence, including net operating loss utilization, cumulative profits, and forecasted taxable income, the Company determined that it is more likely than not the U.S. deferred assets will be realized in full. As such, the Company has not recorded a valuation allowance against its U.S. deferred tax assets as of June 30, 2022 and December 31, 2021.</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shd w:val="clear" w:fill="rgba(0,0,0,0)"/></w:rPr><w:t xml:space="preserve">21. Subsequent Events</w:t></w:r><w:r><w:rPr><w:rFonts w:ascii="Times New Roman" w:hAnsi="Times New Roman" w:eastAsia="Times New Roman" w:cs="Times New Roman"/><w:color w:val="rgba(0,0,0,1)"/><w:sz w:val="20"/><w:szCs w:val="20"/><w:b w:val="1"/><w:b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The Company has evaluated subsequent events through August 9, 2022, the date on which these consolidated financial statements were issued. There was no additional event to report other than that disclosed within Note. "4. Product and Geographic Sales".</w:t></w:r><w:r><w:rPr><w:rFonts w:ascii="Times New Roman" w:hAnsi="Times New Roman" w:eastAsia="Times New Roman" w:cs="Times New Roman"/><w:color w:val="rgba(0,0,0,1)"/><w:sz w:val="20"/><w:szCs w:val="20"/><w:b w:val="0"/><w:bCs w:val="0"/></w:rPr><w:t xml:space="preserve"> </w:t></w:r></w:p><w:p><w:pPr><w:jc w:val="start"/><w:ind w:left="0" w:right="0" w:firstLine="0" w:hanging="0"/><w:spacing w:before="120" w:after="0" w:line="276" w:lineRule="auto"/></w:pPr><w:r><w:rPr><w:rFonts w:ascii="Times New Roman" w:hAnsi="Times New Roman" w:eastAsia="Times New Roman" w:cs="Times New Roman"/><w:sz w:val="20"/><w:szCs w:val="20"/></w:rPr><w:t xml:space="preserve"> </w:t></w:r></w:p><w:p><w:pPr><w:jc w:val="start"/><w:ind w:left="0" w:right="0" w:firstLine="0" w:hanging="0"/><w:spacing w:before="240" w:after="0" w:line="276" w:lineRule="auto"/></w:pPr><w:r><w:rPr><w:rFonts w:ascii="Times New Roman" w:hAnsi="Times New Roman" w:eastAsia="Times New Roman" w:cs="Times New Roman"/><w:sz w:val="20"/><w:szCs w:val="20"/></w:rPr><w:t xml:space="preserve"> </w:t></w:r></w:p><w:p><w:pPr><w:jc w:val="center"/><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22</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color w:val="rgba(0,0,0,1)"/><w:sz w:val="20"/><w:szCs w:val="20"/><w:b w:val="1"/><w:bCs w:val="1"/><w:shd w:val="clear" w:fill="rgba(0,0,0,0)"/></w:rPr><w:t xml:space="preserve">Item 2. Management’s Discussion and Analysis of </w:t></w:r><w:r><w:rPr><w:rFonts w:ascii="Times New Roman" w:hAnsi="Times New Roman" w:eastAsia="Times New Roman" w:cs="Times New Roman"/><w:color w:val="rgba(0,0,0,1)"/><w:sz w:val="20"/><w:szCs w:val="20"/><w:b w:val="1"/><w:bCs w:val="1"/><w:shd w:val="clear" w:fill="rgba(0,0,0,0)"/></w:rPr><w:t xml:space="preserve">Financial Condition and Results of Operations.</w:t></w:r><w:r><w:rPr><w:rFonts w:ascii="Times New Roman" w:hAnsi="Times New Roman" w:eastAsia="Times New Roman" w:cs="Times New Roman"/><w:color w:val="rgba(0,0,0,1)"/><w:sz w:val="20"/><w:szCs w:val="20"/><w:b w:val="1"/><w:b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i w:val="1"/><w:iCs w:val="1"/><w:shd w:val="clear" w:fill="rgba(0,0,0,0)"/></w:rPr><w:t xml:space="preserve">The following discussion and analysis should be read in conjunction with our financial statements and accompanying notes included in this Form 10-Q and the financial statements and accompanying notes thereto and Management’s Discussion and Analysis of Financial Condition and Results of Operations included in our Annual Report on Form 10-K for the fiscal year ended December 31, 2021, filed with the SEC, on March 1, 2022, as amended. Please refer to our note regarding forward-looking statements on page 3 of this Form 10-Q, which is incorporated herein by this reference.</w:t></w:r><w:r><w:rPr><w:rFonts w:ascii="Times New Roman" w:hAnsi="Times New Roman" w:eastAsia="Times New Roman" w:cs="Times New Roman"/><w:color w:val="rgba(0,0,0,1)"/><w:sz w:val="20"/><w:szCs w:val="20"/><w:b w:val="0"/><w:bCs w:val="0"/><w:i w:val="1"/><w:iCs w:val="1"/></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shd w:val="clear" w:fill="rgba(0,0,0,0)"/></w:rPr><w:t xml:space="preserve">Overview</w:t></w:r><w:r><w:rPr><w:rFonts w:ascii="Times New Roman" w:hAnsi="Times New Roman" w:eastAsia="Times New Roman" w:cs="Times New Roman"/><w:color w:val="rgba(0,0,0,1)"/><w:sz w:val="20"/><w:szCs w:val="20"/><w:b w:val="1"/><w:b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Organogenesis is a leading regenerative medicine company focused on the development, manufacture, and commercialization of solutions for the Advanced Wound Care and Surgical & Sports Medicine markets. Our products have been shown through clinical and scientific studies to support and in some cases accelerate tissue healing and improve patient outcomes. We are advancing the standard of care in each phase of the healing process through multiple breakthroughs in tissue engineering and cell therapy. Our solutions address large and growing markets driven by aging demographics and increases in comorbidities such as diabetes, obesity, cardiovascular and peripheral vascular disease and smoking. We offer our differentiated products and in-house customer support to a wide range of health care customers including hospitals, wound care centers, government facilities, ambulatory service centers (“ASCs”) and physician offices. Our mission is to provide integrated healing solutions that substantially improve medical outcomes and the lives of patients while lowering the overall cost of care.</w:t></w:r><w:r><w:rPr><w:rFonts w:ascii="Times New Roman" w:hAnsi="Times New Roman" w:eastAsia="Times New Roman" w:cs="Times New Roman"/><w:color w:val="rgba(0,0,0,1)"/><w:sz w:val="20"/><w:szCs w:val="20"/><w:b w:val="0"/><w:bCs w:val="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We offer a comprehensive portfolio of products in the markets we serve that address patient needs across the continuum of care. We have and intend to continue to generate data from clinical trials, real-world outcomes and health economics research that validate the clinical efficacy and value proposition offered by our products. Several of our existing and pipeline products in our portfolio have PMA approval, or 510(k) clearance from the FDA. Given the extensive time and cost required to conduct clinical trials and receive FDA approvals, we believe that our data and regulatory approvals provide us a strong competitive advantage. Our product development expertise and multiple technology platforms provide a robust product pipeline, which we believe will drive future growth.</w:t></w:r><w:r><w:rPr><w:rFonts w:ascii="Times New Roman" w:hAnsi="Times New Roman" w:eastAsia="Times New Roman" w:cs="Times New Roman"/><w:color w:val="rgba(0,0,0,1)"/><w:sz w:val="20"/><w:szCs w:val="20"/><w:b w:val="0"/><w:bCs w:val="0"/></w:rPr><w:t xml:space="preserve"> </w:t></w:r></w:p><w:p><w:pPr><w:jc w:val="start"/><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In the Advanced Wound Care market, we focus on the development and commercialization of advanced wound care products for the treatment of chronic and acute wounds in various treatment settings. We have a comprehensive portfolio of regenerative medicine products, capable of supporting patients from early in the wound healing process through wound closure regardless of wound type. Our Advanced Wound Care products include Apligraf for the treatment of venous leg ulcers (“VLUs”) and diabetic foot ulcers (“DFUs”); Dermagraft for the treatment of DFUs (manufacturing currently suspended pending transition to our Massachusetts based manufacturing facilities); PuraPly AM as an antimicrobial barrier for a broad variety of wound types; and the Affinity, Novachor and NuShield wound coverings to address a variety of wound sizes and types. We have a highly trained and specialized direct wound care sales force paired with comprehensive customer support services.</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In the Surgical & Sports Medicine market, we focus on products that support the healing of musculoskeletal injuries, including degenerative conditions such as osteoarthritis and tendonitis. We are leveraging our regenerative medicine capabilities in this attractive, adjacent market. Our Surgical & Sports Medicine products include NuShield for surgical application in targeted soft tissue repairs; and Affinity, Novachor</w:t></w:r><w:r><w:rPr><w:rFonts w:ascii="Times New Roman" w:hAnsi="Times New Roman" w:eastAsia="Times New Roman" w:cs="Times New Roman"/><w:color w:val="rgba(0,0,0,1)"/><w:sz w:val="24"/><w:szCs w:val="24"/><w:b w:val="0"/><w:bCs w:val="0"/><w:shd w:val="clear" w:fill="rgba(0,0,0,0)"/></w:rPr><w:t xml:space="preserve"> </w:t></w:r><w:r><w:rPr><w:rFonts w:ascii="Times New Roman" w:hAnsi="Times New Roman" w:eastAsia="Times New Roman" w:cs="Times New Roman"/><w:color w:val="rgba(0,0,0,1)"/><w:sz w:val="20"/><w:szCs w:val="20"/><w:b w:val="0"/><w:bCs w:val="0"/><w:shd w:val="clear" w:fill="rgba(0,0,0,0)"/></w:rPr><w:t xml:space="preserve">and PuraPly AM for management of open wounds in the surgical setting. We currently sell these products through independent agencies and our growing direct sales force.</w:t></w:r><w:r><w:rPr><w:rFonts w:ascii="Times New Roman" w:hAnsi="Times New Roman" w:eastAsia="Times New Roman" w:cs="Times New Roman"/><w:color w:val="rgba(0,0,0,1)"/><w:sz w:val="20"/><w:szCs w:val="20"/><w:b w:val="0"/><w:bCs w:val="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For the six months ended June 30, 2022, we generated $218.5 million of net revenue and $7.8 million of net income compared to $225.7 million of net revenue and $30.6 million of net income for the six months ended June 30, 2021. While we reported net income for the most recent two years, we have incurred significant losses since inception and we may incur operating losses in the future as we expend resources as part of our efforts to grow our organization to support the planned expansion of our business. As of June 30, 2022, we had an accumulated deficit of $53.0 million. Our primary sources of capital to date have been from sales of our products, borrowings from related parties and institutional lenders and proceeds from the sale of our Class A common stock. We operate as one segment of regenerative medicine.</w:t></w:r><w:r><w:rPr><w:rFonts w:ascii="Times New Roman" w:hAnsi="Times New Roman" w:eastAsia="Times New Roman" w:cs="Times New Roman"/><w:color w:val="rgba(0,0,0,1)"/><w:sz w:val="20"/><w:szCs w:val="20"/><w:b w:val="0"/><w:bCs w:val="0"/></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i w:val="1"/><w:iCs w:val="1"/><w:shd w:val="clear" w:fill="rgba(0,0,0,0)"/></w:rPr><w:t xml:space="preserve">COVID-19 pandemic</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The emergence of the coronavirus (COVID-19) around the world, and particularly in the United States, continues to present risks to the Company. While the COVID-19 pandemic has not materially adversely affected our financial results and business operations through the second quarter ended June 30, 2022, we are unable to predict the impact that COVID-19 will have on our financial position and operating results because of the numerous uncertainties created by the unprecedented nature of the pandemic. We are closely monitoring the evolving impact of the pandemic on all aspects of our business. We have implemented a number of measures designed to protect the health and safety of our employees, support our customers and promote business continuity. We continue to evaluate the Company’s liquidity position, communicate with and monitor the actions of our customers and suppliers, and review our near-term financial performance as we manage the Company through this period of uncertainty.</w:t></w:r></w:p><w:p><w:pPr><w:jc w:val="center"/><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23</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i w:val="1"/><w:iCs w:val="1"/><w:shd w:val="clear" w:fill="rgba(0,0,0,0)"/></w:rPr><w:t xml:space="preserve">End of Enforcement Grace Period for ReNu and NuCel</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On November 16, 2017, the FDA issued a final guidance document entitled, “Regulatory Considerations for Human Cells, Tissues, and Cellular and Tissue-Based Products: Minimal Manipulation and Homologous Use”, or 361 HCT/P Guidance, which provided the FDA’s thinking on how to apply the existing regulatory criteria for regulation as a Section 361 HCT/P. The 361 HCT/P Guidance clarified the FDA’s views about the criteria that differentiate those products subject to regulation under Section 361 of the Public Health Service Act from those considered to be drugs, devices, and/or biological products subject to licensure under Section 351 and related regulations. The 361 HCT/P Guidance originally indicated that the FDA was providing a 36-month enforcement grace period to allow time for distributors of HCT/Ps to make any regulatory submissions and obtain any premarket approvals necessary to comply with the guidance. In July 2020, the FDA announced that the enforcement grace period would be extended until May 31, 2021 as a result of the challenges presented by the COVID-19 public health emergency. On April 21, 2021, the FDA reaffirmed that the enforcement grace period would end on May 31, 2021, at which time we ceased commercial distribution of ReNu and NuCel. We are continuing to conduct clinical studies of ReNu to support FDA approval of a Biologics License Application for the treatment of knee osteoarthritis and, based on favorable feasibility studies, we believe ReNu has potential as a treatment for additional osteoarthritis and tissue regeneration applications. Accordingly, we have decided to focus on clinical development of ReNu and we discontinued clinical development of NuCel.</w:t></w:r><w:r><w:rPr><w:rFonts w:ascii="Times New Roman" w:hAnsi="Times New Roman" w:eastAsia="Times New Roman" w:cs="Times New Roman"/><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color w:val="rgba(0,0,0,1)"/><w:sz w:val="20"/><w:szCs w:val="20"/><w:b w:val="1"/><w:bCs w:val="1"/><w:i w:val="1"/><w:iCs w:val="1"/><w:shd w:val="clear" w:fill="rgba(0,0,0,0)"/></w:rPr><w:t xml:space="preserve">Dermagraft</w:t></w:r><w:r><w:rPr><w:rFonts w:ascii="Times New Roman" w:hAnsi="Times New Roman" w:eastAsia="Times New Roman" w:cs="Times New Roman"/><w:color w:val="rgba(0,0,0,1)"/><w:sz w:val="20"/><w:szCs w:val="20"/><w:b w:val="1"/><w:bCs w:val="1"/><w:i w:val="1"/><w:i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As part of our long-term plan to consolidate manufacturing operations in Massachusetts, manufacturing of Dermagraft was suspended in the fourth quarter of 2021 and sales of Dermagraft were suspended in the second quarter of 2022. We currently plan to transition our Dermagraft manufacturing to Massachusetts, which we expect will result in substantial long-term cost savings. In the period when Dermagraft is not available (possibly for a few years), we expect that customers will be willing to substitute Apligraf for Dermagraft and that the suspension of Dermagraft sales will not have a material impact on our net revenue. However, if we do not realize the expected substantial long-term cost savings or if customers are unwilling to substitute Apligraf for Dermagraft during the period in which Dermagraft is unavailable, it could have an adverse effect on our net revenue and results of operations.</w:t></w:r><w:r><w:rPr><w:rFonts w:ascii="Times New Roman" w:hAnsi="Times New Roman" w:eastAsia="Times New Roman" w:cs="Times New Roman"/><w:color w:val="rgba(0,0,0,1)"/><w:sz w:val="20"/><w:szCs w:val="20"/><w:b w:val="0"/><w:bCs w:val="0"/></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shd w:val="clear" w:fill="rgba(0,0,0,0)"/></w:rPr><w:t xml:space="preserve">Components of Our Consolidated Results of Operations</w:t></w:r><w:r><w:rPr><w:rFonts w:ascii="Times New Roman" w:hAnsi="Times New Roman" w:eastAsia="Times New Roman" w:cs="Times New Roman"/><w:color w:val="rgba(0,0,0,1)"/><w:sz w:val="20"/><w:szCs w:val="20"/><w:b w:val="1"/><w:b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In assessing the performance of our business, we consider a variety of performance and financial measures. We believe the items discussed below provide insight into the factors that affect these key measures.</w:t></w:r><w:r><w:rPr><w:rFonts w:ascii="Times New Roman" w:hAnsi="Times New Roman" w:eastAsia="Times New Roman" w:cs="Times New Roman"/><w:color w:val="rgba(0,0,0,1)"/><w:sz w:val="20"/><w:szCs w:val="20"/><w:b w:val="0"/><w:bCs w:val="0"/></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i w:val="1"/><w:iCs w:val="1"/><w:shd w:val="clear" w:fill="rgba(0,0,0,0)"/></w:rPr><w:t xml:space="preserve">Revenue</w:t></w:r><w:r><w:rPr><w:rFonts w:ascii="Times New Roman" w:hAnsi="Times New Roman" w:eastAsia="Times New Roman" w:cs="Times New Roman"/><w:color w:val="rgba(0,0,0,1)"/><w:sz w:val="20"/><w:szCs w:val="20"/><w:b w:val="1"/><w:bCs w:val="1"/><w:i w:val="1"/><w:i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We derive our net revenue from our portfolio of Advanced Wound Care and Surgical & Sports Medicine products. We primarily sell our Advanced Wound Care products through direct sales representatives who manage and maintain the sales relationships with hospitals, wound care centers, government facilities, ASCs and physician offices. We primarily sell our Surgical & Sports Medicine products through third party agencies. As of June 30, 2022, we had approximately 350 direct sales representatives and approximately 150 independent agencies.</w:t></w:r><w:r><w:rPr><w:rFonts w:ascii="Times New Roman" w:hAnsi="Times New Roman" w:eastAsia="Times New Roman" w:cs="Times New Roman"/><w:color w:val="rgba(0,0,0,1)"/><w:sz w:val="20"/><w:szCs w:val="20"/><w:b w:val="0"/><w:bCs w:val="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We recognize revenue from sales of our Advanced Wound Care and Surgical & Sports Medicine products when the customer obtains control of our product, which occurs at a point in time and may be upon procedure date, shipment, or delivery, based on the contractual terms of a contract. We record revenue net of a reserve for returns, discounts and GPO rebates, which represent a direct reduction to the revenue we recognize.</w:t></w:r><w:r><w:rPr><w:rFonts w:ascii="Times New Roman" w:hAnsi="Times New Roman" w:eastAsia="Times New Roman" w:cs="Times New Roman"/><w:color w:val="rgba(0,0,0,1)"/><w:sz w:val="20"/><w:szCs w:val="20"/><w:b w:val="0"/><w:bCs w:val="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Several factors affect our reported revenue in any period, including product, payer and geographic sales mix, operational effectiveness, pricing realization, marketing and promotional efforts, the timing of orders and shipments, regulatory actions including healthcare reimbursement scenarios, competition and business acquisitions.</w:t></w:r><w:r><w:rPr><w:rFonts w:ascii="Times New Roman" w:hAnsi="Times New Roman" w:eastAsia="Times New Roman" w:cs="Times New Roman"/><w:color w:val="rgba(0,0,0,1)"/><w:sz w:val="20"/><w:szCs w:val="20"/><w:b w:val="0"/><w:bCs w:val="0"/></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i w:val="1"/><w:iCs w:val="1"/><w:shd w:val="clear" w:fill="rgba(0,0,0,0)"/></w:rPr><w:t xml:space="preserve">Cost of goods sold and gross profit</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Cost of goods sold includes personnel costs, product testing costs, quality assurance costs, raw materials and product costs, manufacturing costs, and the costs associated with our manufacturing and warehouse facilities. The changes in our cost of goods sold correspond with the changes in sales units and are also affected by product mix. We expect our cost of goods sold to increase due primarily to the anticipated increase in sales volumes driven by the expansion of our sales force and sales territories, expansion of our product portfolio offerings, and the number of healthcare facilities that offer our products.</w:t></w:r></w:p><w:p><w:pPr><w:jc w:val="center"/><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24</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Gross profit is calculated as net revenue less cost of goods sold and generally increases as revenue increases. Our gross profit is affected by product and geographic sales mix, realized pricing of our products, the efficiency of our manufacturing operations and the costs of materials used and fees charged by third-party manufacturers to produce our products. Regulatory actions, including healthcare reimbursement scenarios, which may require costly expenditures or result in pricing pressures, may decrease our gross profit.</w:t></w:r><w:r><w:rPr><w:rFonts w:ascii="Times New Roman" w:hAnsi="Times New Roman" w:eastAsia="Times New Roman" w:cs="Times New Roman"/><w:color w:val="rgba(0,0,0,1)"/><w:sz w:val="20"/><w:szCs w:val="20"/><w:b w:val="0"/><w:bCs w:val="0"/></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i w:val="1"/><w:iCs w:val="1"/><w:shd w:val="clear" w:fill="rgba(0,0,0,0)"/></w:rPr><w:t xml:space="preserve">Selling, general and administrative expenses</w:t></w:r><w:r><w:rPr><w:rFonts w:ascii="Times New Roman" w:hAnsi="Times New Roman" w:eastAsia="Times New Roman" w:cs="Times New Roman"/><w:color w:val="rgba(0,0,0,1)"/><w:sz w:val="20"/><w:szCs w:val="20"/><w:b w:val="1"/><w:bCs w:val="1"/><w:i w:val="1"/><w:i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Selling, general and administrative expenses generally include personnel costs for sales, marketing, sales support, customer support, and general and administrative personnel, sales commissions, incentive compensation, insurance, professional fees, depreciation, amortization, bad debt expense, royalties, information systems costs and costs associated with our administrative facilities. We generally expect our selling, general and administrative expenses to continue to increase due to increased investments in market development and the geographic expansion of our sales forces as we drive for continued revenue growth.</w:t></w:r><w:r><w:rPr><w:rFonts w:ascii="Times New Roman" w:hAnsi="Times New Roman" w:eastAsia="Times New Roman" w:cs="Times New Roman"/><w:color w:val="rgba(0,0,0,1)"/><w:sz w:val="20"/><w:szCs w:val="20"/><w:b w:val="0"/><w:bCs w:val="0"/></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i w:val="1"/><w:iCs w:val="1"/><w:shd w:val="clear" w:fill="rgba(0,0,0,0)"/></w:rPr><w:t xml:space="preserve">Research and development expenses</w:t></w:r><w:r><w:rPr><w:rFonts w:ascii="Times New Roman" w:hAnsi="Times New Roman" w:eastAsia="Times New Roman" w:cs="Times New Roman"/><w:color w:val="rgba(0,0,0,1)"/><w:sz w:val="20"/><w:szCs w:val="20"/><w:b w:val="1"/><w:bCs w:val="1"/><w:i w:val="1"/><w:i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Research and development expenses include personnel costs for our research and development personnel, expenses related to improvements in our manufacturing processes, enhancements to our currently available products, and additional investments in our product and platform development pipeline. Our research and development expenses also include expenses for clinical trials. We expense research and development costs as incurred. We generally expect that research and development expenses will increase as we continue to conduct clinical trials on new and existing products, move products through the regulatory pathway (e.g., seek BLA approval), add personnel to support product enhancements as well as to bring new products to market, and enhance our manufacturing process and procedures.</w:t></w:r><w:r><w:rPr><w:rFonts w:ascii="Times New Roman" w:hAnsi="Times New Roman" w:eastAsia="Times New Roman" w:cs="Times New Roman"/><w:color w:val="rgba(0,0,0,1)"/><w:sz w:val="20"/><w:szCs w:val="20"/><w:b w:val="0"/><w:bCs w:val="0"/></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i w:val="1"/><w:iCs w:val="1"/><w:shd w:val="clear" w:fill="rgba(0,0,0,0)"/></w:rPr><w:t xml:space="preserve">Other expense, net</w:t></w:r><w:r><w:rPr><w:rFonts w:ascii="Times New Roman" w:hAnsi="Times New Roman" w:eastAsia="Times New Roman" w:cs="Times New Roman"/><w:color w:val="rgba(0,0,0,1)"/><w:sz w:val="20"/><w:szCs w:val="20"/><w:b w:val="1"/><w:bCs w:val="1"/><w:i w:val="1"/><w:i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i w:val="1"/><w:iCs w:val="1"/><w:shd w:val="clear" w:fill="rgba(0,0,0,0)"/></w:rPr><w:t xml:space="preserve">Interest expense</w:t></w:r><w:r><w:rPr><w:rFonts w:ascii="Times New Roman" w:hAnsi="Times New Roman" w:eastAsia="Times New Roman" w:cs="Times New Roman"/><w:color w:val="rgba(0,0,0,1)"/><w:sz w:val="20"/><w:szCs w:val="20"/><w:b w:val="0"/><w:bCs w:val="0"/><w:shd w:val="clear" w:fill="rgba(0,0,0,0)"/></w:rPr><w:t xml:space="preserve">—Interest expense consists of interest on our outstanding indebtedness, including amortization of debt discount and debt issuance costs, net of interest income recognized.</w:t></w:r><w:r><w:rPr><w:rFonts w:ascii="Times New Roman" w:hAnsi="Times New Roman" w:eastAsia="Times New Roman" w:cs="Times New Roman"/><w:color w:val="rgba(0,0,0,1)"/><w:sz w:val="20"/><w:szCs w:val="20"/><w:b w:val="0"/><w:bCs w:val="0"/></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i w:val="1"/><w:iCs w:val="1"/><w:shd w:val="clear" w:fill="rgba(0,0,0,0)"/></w:rPr><w:t xml:space="preserve">Income taxes</w:t></w:r><w:r><w:rPr><w:rFonts w:ascii="Times New Roman" w:hAnsi="Times New Roman" w:eastAsia="Times New Roman" w:cs="Times New Roman"/><w:color w:val="rgba(0,0,0,1)"/><w:sz w:val="20"/><w:szCs w:val="20"/><w:b w:val="1"/><w:bCs w:val="1"/><w:i w:val="1"/><w:iCs w:val="1"/></w:rPr><w:t xml:space="preserve"> </w:t></w:r></w:p><w:p><w:pPr><w:jc w:val="start"/><w:ind w:left="0" w:right="0" w:firstLine="0" w:hanging="0"/><w:spacing w:before="120" w:after="0" w:line="264.5" w:lineRule="auto"/></w:pPr><w:r><w:rPr><w:rFonts w:ascii="Times New Roman" w:hAnsi="Times New Roman" w:eastAsia="Times New Roman" w:cs="Times New Roman"/><w:color w:val="rgba(0,0,0,1)"/><w:sz w:val="20"/><w:szCs w:val="20"/><w:b w:val="0"/><w:bCs w:val="0"/><w:shd w:val="clear" w:fill="rgba(0,0,0,0)"/></w:rPr><w:t xml:space="preserve">We account for income taxes using an asset and liability approach. Deferred income taxes reflect the net tax effects of temporary differences between the carrying amounts of assets and liabilities for financial reporting purposes and the amounts used for income tax purposes. Valuation allowances are provided when necessary to reduce net deferred tax assets to an amount that is more likely than not to be realized.</w:t></w:r><w:r><w:rPr><w:rFonts w:ascii="Times New Roman" w:hAnsi="Times New Roman" w:eastAsia="Times New Roman" w:cs="Times New Roman"/><w:color w:val="rgba(0,0,0,1)"/><w:sz w:val="20"/><w:szCs w:val="20"/><w:b w:val="0"/><w:bCs w:val="0"/></w:rPr><w:t xml:space="preserve"> </w:t></w:r></w:p><w:p><w:pPr><w:jc w:val="start"/><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In determining whether a valuation allowance for deferred tax assets is necessary, we analyze both positive and negative evidence related to the realization of deferred tax assets including projected future taxable income, recent financial results and estimates of future reversals of deferred tax assets and liabilities. In addition, we consider whether it is more likely than not that the tax position will be sustained on examination by taxing authorities based on the technical merits of the position. Based on a consideration of the factors discussed above, we have determined that our net U.S. deferred tax assets do not require a valuation allowance as of June 30, 2022 and December 31, 2021.</w:t></w:r></w:p><w:p><w:pPr><w:jc w:val="start"/><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We account for uncertainty in income taxes recognized in the consolidated financial statements by applying a two-step process to determine the amount of tax benefit to be recognized. First, the tax position must be evaluated to determine the likelihood that it will be sustained upon external examination by the taxing authorities. If the tax position is deemed more-likely-than-not to be sustained, the tax position is then assessed to determine the amount of benefit to recognize in the consolidated financial statements. The amount of the benefit that may be recognized is the largest amount that has a greater than 50% likelihood of being realized upon ultimate settlement. The provision for income taxes includes the effects of any resulting tax reserves, or unrecognized tax benefits, that are considered appropriate as well as the related net interest and penalties.</w:t></w:r></w:p><w:p><w:pPr><w:jc w:val="center"/><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25</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shd w:val="clear" w:fill="rgba(0,0,0,0)"/></w:rPr><w:t xml:space="preserve">Results of Operations</w:t></w:r><w:r><w:rPr><w:rFonts w:ascii="Times New Roman" w:hAnsi="Times New Roman" w:eastAsia="Times New Roman" w:cs="Times New Roman"/><w:color w:val="rgba(0,0,0,1)"/><w:sz w:val="20"/><w:szCs w:val="20"/><w:b w:val="1"/><w:b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The following table sets forth, for the periods indicated, our results of operations:</w:t></w:r><w:r><w:rPr><w:rFonts w:ascii="Times New Roman" w:hAnsi="Times New Roman" w:eastAsia="Times New Roman" w:cs="Times New Roman"/><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37800" w:type="dxa"/><w:gridCol w:w="9750" w:type="dxa"/><w:gridCol w:w="0" w:type="dxa"/><w:gridCol w:w="12749999999999950" w:type="dxa"/><w:gridCol w:w="0" w:type="dxa"/><w:gridCol w:w="9750" w:type="dxa"/><w:gridCol w:w="0" w:type="dxa"/><w:gridCol w:w="23799999999999950" w:type="dxa"/><w:gridCol w:w="0" w:type="dxa"/><w:gridCol w:w="9750" w:type="dxa"/><w:gridCol w:w="0" w:type="dxa"/><w:gridCol w:w="12749999999999950" w:type="dxa"/><w:gridCol w:w="0" w:type="dxa"/><w:gridCol w:w="9750" w:type="dxa"/><w:gridCol w:w="0" w:type="dxa"/><w:gridCol w:w="23799999999999950" w:type="dxa"/><w:gridCol w:w="0" w:type="dxa"/></w:tblGrid><w:tblPr><w:tblW w:w="0" w:type="pct"/><w:tblLayout w:type="autofit"/></w:tblPr><w:tr><w:trPr/><w:tc><w:tcPr><w:tcW w:w="37800" w:type="pct"/><w:noWrap/></w:tcPr><w:p><w:pPr/></w:p></w:tc><w:tc><w:tcPr><w:tcW w:w="9750" w:type="pct"/><w:noWrap/></w:tcPr><w:p><w:pPr/></w:p></w:tc><w:tc><w:tcPr><w:tcW w:w="0" w:type="pct"/><w:noWrap/></w:tcPr><w:p><w:pPr/></w:p></w:tc><w:tc><w:tcPr><w:tcW w:w="12749999999999950" w:type="pct"/><w:noWrap/></w:tcPr><w:p><w:pPr/></w:p></w:tc><w:tc><w:tcPr><w:tcW w:w="0" w:type="pct"/><w:noWrap/></w:tcPr><w:p><w:pPr/></w:p></w:tc><w:tc><w:tcPr><w:tcW w:w="9750" w:type="pct"/><w:noWrap/></w:tcPr><w:p><w:pPr/></w:p></w:tc><w:tc><w:tcPr><w:tcW w:w="0" w:type="pct"/><w:noWrap/></w:tcPr><w:p><w:pPr/></w:p></w:tc><w:tc><w:tcPr><w:tcW w:w="23799999999999950" w:type="pct"/><w:noWrap/></w:tcPr><w:p><w:pPr/></w:p></w:tc><w:tc><w:tcPr><w:tcW w:w="0" w:type="pct"/><w:noWrap/></w:tcPr><w:p><w:pPr/></w:p></w:tc><w:tc><w:tcPr><w:tcW w:w="9750" w:type="pct"/><w:noWrap/></w:tcPr><w:p><w:pPr/></w:p></w:tc><w:tc><w:tcPr><w:tcW w:w="0" w:type="pct"/><w:noWrap/></w:tcPr><w:p><w:pPr/></w:p></w:tc><w:tc><w:tcPr><w:tcW w:w="12749999999999950" w:type="pct"/><w:noWrap/></w:tcPr><w:p><w:pPr/></w:p></w:tc><w:tc><w:tcPr><w:tcW w:w="0" w:type="pct"/><w:noWrap/></w:tcPr><w:p><w:pPr/></w:p></w:tc><w:tc><w:tcPr><w:tcW w:w="9750" w:type="pct"/><w:noWrap/></w:tcPr><w:p><w:pPr/></w:p></w:tc><w:tc><w:tcPr><w:tcW w:w="0" w:type="pct"/><w:noWrap/></w:tcPr><w:p><w:pPr/></w:p></w:tc><w:tc><w:tcPr><w:tcW w:w="23799999999999950" w:type="pct"/><w:noWrap/></w:tcPr><w:p><w:pPr/></w:p></w:tc><w:tc><w:tcPr><w:tcW w:w="0" w:type="pct"/><w:noWrap/></w:tcPr><w:p><w:pP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Three Months Ended</w:t></w:r><w:br/><w:r><w:rPr><w:rFonts w:ascii="Times New Roman" w:hAnsi="Times New Roman" w:eastAsia="Times New Roman" w:cs="Times New Roman"/><w:color w:val="rgba(0,0,0,1)"/><w:sz w:val="16"/><w:szCs w:val="16"/><w:b w:val="1"/><w:bCs w:val="1"/><w:shd w:val="clear" w:fill="rgba(0,0,0,0)"/></w:rPr><w:t xml:space="preserve">June 30,</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Six Months Ended</w:t></w:r><w:br/><w:r><w:rPr><w:rFonts w:ascii="Times New Roman" w:hAnsi="Times New Roman" w:eastAsia="Times New Roman" w:cs="Times New Roman"/><w:color w:val="rgba(0,0,0,1)"/><w:sz w:val="16"/><w:szCs w:val="16"/><w:b w:val="1"/><w:bCs w:val="1"/><w:shd w:val="clear" w:fill="rgba(0,0,0,0)"/></w:rPr><w:t xml:space="preserve">June 30,</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Net revenue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121,401</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123,196</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218,518</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225,748</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Cost of goods sold</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26,652</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29,940</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51,732</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55,435</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Gross profit</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94,749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93,256</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166,786</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170,313</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Operating expenses:</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gridSpan w:val="2"/><w:noWrap/></w:tcPr><w:p><w:pPr><w:jc w:val="end"/><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Selling, general and administrative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72,609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62,349</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136,187</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120,581</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Research and development</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10,205</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7,320</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18,792</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13,529</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Total operating expenses</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82,814</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69,669</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154,979</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134,110</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Income from operations</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11,935</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23,587</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11,807</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36,203</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Other expense, net:</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shd w:val="clear" w:fill="rgba(207,240,252,1)"/><w:gridSpan w:val="2"/><w:noWrap/></w:tcPr><w:p><w:pPr><w:jc w:val="end"/><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Interest expense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(730</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(2,431</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(1,467</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(4,901</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r><w:trPr><w:trHeight w:val="20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Other expense, net</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(21</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18</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(24</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15</w:t></w:r></w:p></w:tc><w:tc><w:tcPr><w:tcW w:w="0" w:type="pct"/><w:vAlign w:val="bottom"/><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Total other expense, net</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(751</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(2,413</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(1,491</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(4,886</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r><w:trPr><w:trHeight w:val="20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Net income before income taxes</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11,184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21,174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10,316</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31,317</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Income tax expense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(2,440</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(487</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(2,485</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bottom"/><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(687</w:t></w:r></w:p></w:tc><w:tc><w:tcPr><w:tcW w:w="0" w:type="pct"/><w:vAlign w:val="bottom"/><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r><w:trPr><w:trHeight w:val="20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Net income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8,744</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20,687</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7,831</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bottom"/><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30,630</w:t></w:r></w:p></w:tc><w:tc><w:tcPr><w:tcW w:w="0" w:type="pct"/><w:vAlign w:val="bottom"/><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160" w:after="0" w:line="276" w:lineRule="auto"/></w:pPr><w:r><w:rPr><w:rFonts w:ascii="Times New Roman" w:hAnsi="Times New Roman" w:eastAsia="Times New Roman" w:cs="Times New Roman"/><w:color w:val="rgba(0,0,0,1)"/><w:sz w:val="20"/><w:szCs w:val="20"/><w:b w:val="1"/><w:bCs w:val="1"/><w:shd w:val="clear" w:fill="rgba(0,0,0,0)"/></w:rPr><w:t xml:space="preserve">EBITDA and Adjusted EBITDA</w:t></w:r><w:r><w:rPr><w:rFonts w:ascii="Times New Roman" w:hAnsi="Times New Roman" w:eastAsia="Times New Roman" w:cs="Times New Roman"/><w:color w:val="rgba(0,0,0,1)"/><w:sz w:val="20"/><w:szCs w:val="20"/><w:b w:val="1"/><w:b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Our management uses financial measures that are not in accordance with generally accepted accounting principles in the United States, or GAAP, in addition to financial measures in accordance with GAAP to evaluate our operating results. These non-GAAP financial measures should be considered supplemental to, and not a substitute for, our reported financial results prepared in accordance with GAAP. Our management uses Adjusted EBITDA to evaluate our operating performance and trends and make planning decisions. Our management believes Adjusted EBITDA helps identify underlying trends in our business that could otherwise be masked by the effect of the items that we exclude. Accordingly, we believe that Adjusted EBITDA provides useful information to investors and others in understanding and evaluating our operating results, enhancing the overall understanding of our past performance and future prospects, and allowing for greater transparency with respect to key financial metrics used by our management in its financial and operational decision-making.</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The following is a reconciliation of GAAP net income to non-GAAP EBITDA and non-GAAP Adjusted EBITDA for each of the periods presented:</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37900" w:type="dxa"/><w:gridCol w:w="5150" w:type="dxa"/><w:gridCol w:w="0" w:type="dxa"/><w:gridCol w:w="26750" w:type="dxa"/><w:gridCol w:w="0" w:type="dxa"/><w:gridCol w:w="5150" w:type="dxa"/><w:gridCol w:w="0" w:type="dxa"/><w:gridCol w:w="21100" w:type="dxa"/><w:gridCol w:w="0" w:type="dxa"/><w:gridCol w:w="5150" w:type="dxa"/><w:gridCol w:w="0" w:type="dxa"/><w:gridCol w:w="22600" w:type="dxa"/><w:gridCol w:w="0" w:type="dxa"/><w:gridCol w:w="5150" w:type="dxa"/><w:gridCol w:w="0" w:type="dxa"/><w:gridCol w:w="21100" w:type="dxa"/><w:gridCol w:w="0" w:type="dxa"/></w:tblGrid><w:tblPr><w:tblW w:w="0" w:type="pct"/><w:tblLayout w:type="autofit"/></w:tblPr><w:tr><w:trPr/><w:tc><w:tcPr><w:tcW w:w="37900" w:type="pct"/><w:noWrap/></w:tcPr><w:p><w:pPr/></w:p></w:tc><w:tc><w:tcPr><w:tcW w:w="5150" w:type="pct"/><w:noWrap/></w:tcPr><w:p><w:pPr/></w:p></w:tc><w:tc><w:tcPr><w:tcW w:w="0" w:type="pct"/><w:noWrap/></w:tcPr><w:p><w:pPr/></w:p></w:tc><w:tc><w:tcPr><w:tcW w:w="26750" w:type="pct"/><w:noWrap/></w:tcPr><w:p><w:pPr/></w:p></w:tc><w:tc><w:tcPr><w:tcW w:w="0" w:type="pct"/><w:noWrap/></w:tcPr><w:p><w:pPr/></w:p></w:tc><w:tc><w:tcPr><w:tcW w:w="5150" w:type="pct"/><w:noWrap/></w:tcPr><w:p><w:pPr/></w:p></w:tc><w:tc><w:tcPr><w:tcW w:w="0" w:type="pct"/><w:noWrap/></w:tcPr><w:p><w:pPr/></w:p></w:tc><w:tc><w:tcPr><w:tcW w:w="21100" w:type="pct"/><w:noWrap/></w:tcPr><w:p><w:pPr/></w:p></w:tc><w:tc><w:tcPr><w:tcW w:w="0" w:type="pct"/><w:noWrap/></w:tcPr><w:p><w:pPr/></w:p></w:tc><w:tc><w:tcPr><w:tcW w:w="5150" w:type="pct"/><w:noWrap/></w:tcPr><w:p><w:pPr/></w:p></w:tc><w:tc><w:tcPr><w:tcW w:w="0" w:type="pct"/><w:noWrap/></w:tcPr><w:p><w:pPr/></w:p></w:tc><w:tc><w:tcPr><w:tcW w:w="22600" w:type="pct"/><w:noWrap/></w:tcPr><w:p><w:pPr/></w:p></w:tc><w:tc><w:tcPr><w:tcW w:w="0" w:type="pct"/><w:noWrap/></w:tcPr><w:p><w:pPr/></w:p></w:tc><w:tc><w:tcPr><w:tcW w:w="5150" w:type="pct"/><w:noWrap/></w:tcPr><w:p><w:pPr/></w:p></w:tc><w:tc><w:tcPr><w:tcW w:w="0" w:type="pct"/><w:noWrap/></w:tcPr><w:p><w:pPr/></w:p></w:tc><w:tc><w:tcPr><w:tcW w:w="21100" w:type="pct"/><w:noWrap/></w:tcPr><w:p><w:pPr/></w:p></w:tc><w:tc><w:tcPr><w:tcW w:w="0" w:type="pct"/><w:noWrap/></w:tcPr><w:p><w:pP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Three Months Ended</w:t></w:r><w:br/><w:r><w:rPr><w:rFonts w:ascii="Times New Roman" w:hAnsi="Times New Roman" w:eastAsia="Times New Roman" w:cs="Times New Roman"/><w:color w:val="rgba(0,0,0,1)"/><w:sz w:val="16"/><w:szCs w:val="16"/><w:b w:val="1"/><w:bCs w:val="1"/><w:shd w:val="clear" w:fill="rgba(0,0,0,0)"/></w:rPr><w:t xml:space="preserve">June 30,</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Six Months Ended</w:t></w:r><w:br/><w:r><w:rPr><w:rFonts w:ascii="Times New Roman" w:hAnsi="Times New Roman" w:eastAsia="Times New Roman" w:cs="Times New Roman"/><w:color w:val="rgba(0,0,0,1)"/><w:sz w:val="16"/><w:szCs w:val="16"/><w:b w:val="1"/><w:bCs w:val="1"/><w:shd w:val="clear" w:fill="rgba(0,0,0,0)"/></w:rPr><w:t xml:space="preserve">June 30,</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(in thousands)</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(in thousands)</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8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Net income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8,744</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20,687</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7,831</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30,630</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Interest expense, net</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730</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2,431</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1,467</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4,901</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r><w:tr><w:trPr><w:trHeight w:val="18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Income tax expense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2,440</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487</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2,485</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687</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Depreciation</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1,528</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1,063</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2,875</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2,073</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r><w:tr><w:trPr><w:trHeight w:val="18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Amortization</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1,221</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1,243</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2,442</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2,486</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EBITDA</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14,663</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25,911</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17,100</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40,777</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r><w:tr><w:trPr><w:trHeight w:val="18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Stock-based compensation expense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1,692</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1,042</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2,995</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1,740</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Recovery of certain notes receivable from related parties (1)</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(179</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r><w:tr><w:trPr><w:trHeight w:val="18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Change in fair value of Earnout (2)</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(2,762</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(3,058</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r><w:tr><w:trPr><w:trHeight w:val="18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Restructuring charge (3)</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643</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939</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907</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1,866</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r><w:tr><w:trPr><w:trHeight w:val="18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Settlement fee (4)</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1,600</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2,600</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c><w:tcPr><w:tcW w:w="0" w:type="pct"/><w:vAlign w:val="center"/><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18"/><w:szCs w:val="18"/><w:shd w:val="clear" w:fill="rgba(207,240,252,1)"/></w:rPr><w:t xml:space="preserve"> </w:t></w:r></w:p></w:tc></w:tr><w:tr><w:trPr><w:trHeight w:val="18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Adjusted EBITDA</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center"/><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18,598</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center"/><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25,130</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center"/><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23,602</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w:t></w:r></w:p></w:tc><w:tc><w:tcPr><w:tcW w:w="0" w:type="pct"/><w:vAlign w:val="center"/><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18"/><w:szCs w:val="18"/><w:b w:val="0"/><w:bCs w:val="0"/><w:shd w:val="clear" w:fill="rgba(0,0,0,0)"/></w:rPr><w:t xml:space="preserve">41,146</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18"/><w:szCs w:val="18"/><w:shd w:val="clear" w:fill="rgba(0,0,0,0)"/></w:rPr><w:t xml:space="preserve"> </w:t></w:r></w:p></w:tc></w:tr></w:tbl><w:p><w:pPr><w:jc w:val="start"/><w:ind w:left="0" w:right="0" w:firstLine="0" w:hanging="0"/><w:spacing w:before="0" w:after="0" w:line="120" w:lineRule="exact"/></w:pPr><w:r><w:rPr><w:rFonts w:ascii="Times New Roman" w:hAnsi="Times New Roman" w:eastAsia="Times New Roman" w:cs="Times New Roman"/><w:color w:val="rgba(0,0,0,1)"/><w:sz w:val="12"/><w:szCs w:val="12"/><w:b w:val="0"/><w:bCs w:val="0"/></w:rPr><w:t xml:space="preserve"> </w:t></w:r><w:r><w:rPr><w:rFonts w:ascii="Times New Roman" w:hAnsi="Times New Roman" w:eastAsia="Times New Roman" w:cs="Times New Roman"/><w:sz w:val="20"/><w:szCs w:val="20"/></w:rPr><w:t xml:space="preserve"> </w:t></w:r></w:p><w:p><w:pPr><w:jc w:val="start"/></w:pPr><w:r><w:rPr><w:rFonts w:ascii="Times New Roman" w:hAnsi="Times New Roman" w:eastAsia="Times New Roman" w:cs="Times New Roman"/><w:color w:val="rgba(0,0,0,1)"/><w:sz w:val="20"/><w:szCs w:val="20"/><w:b w:val="0"/><w:bCs w:val="0"/><w:shd w:val="clear" w:fill="rgba(0,0,0,0)"/></w:rPr><w:t xml:space="preserve">(1)</w:t></w:r></w:p><w:p><w:pPr><w:jc w:val="start"/></w:pPr><w:r><w:rPr><w:rFonts w:ascii="Times New Roman" w:hAnsi="Times New Roman" w:eastAsia="Times New Roman" w:cs="Times New Roman"/><w:color w:val="rgba(0,0,0,1)"/><w:sz w:val="20"/><w:szCs w:val="20"/><w:b w:val="0"/><w:bCs w:val="0"/><w:shd w:val="clear" w:fill="rgba(0,0,0,0)"/></w:rPr><w:t xml:space="preserve">Amount reflects the collection of certain notes receivable from related parties previously reserved. See Note “19. Related Party Transactions”.</w:t></w:r></w:p><w:p><w:pPr><w:jc w:val="start"/></w:pPr><w:r><w:rPr><w:rFonts w:ascii="Times New Roman" w:hAnsi="Times New Roman" w:eastAsia="Times New Roman" w:cs="Times New Roman"/><w:color w:val="rgba(0,0,0,1)"/><w:sz w:val="20"/><w:szCs w:val="20"/><w:b w:val="0"/><w:bCs w:val="0"/><w:shd w:val="clear" w:fill="rgba(0,0,0,0)"/></w:rPr><w:t xml:space="preserve">(2)</w:t></w:r></w:p><w:p><w:pPr><w:jc w:val="start"/></w:pPr><w:r><w:rPr><w:rFonts w:ascii="Times New Roman" w:hAnsi="Times New Roman" w:eastAsia="Times New Roman" w:cs="Times New Roman"/><w:color w:val="rgba(0,0,0,1)"/><w:sz w:val="20"/><w:szCs w:val="20"/><w:b w:val="0"/><w:bCs w:val="0"/><w:shd w:val="clear" w:fill="rgba(0,0,0,0)"/></w:rPr><w:t xml:space="preserve">Amounts reflect the change in the fair value of the Earnout liability in connection with the CPN acquisition. See Note “3. Acquisition”.</w:t></w:r></w:p><w:p><w:pPr><w:jc w:val="start"/></w:pPr><w:r><w:rPr><w:rFonts w:ascii="Times New Roman" w:hAnsi="Times New Roman" w:eastAsia="Times New Roman" w:cs="Times New Roman"/><w:color w:val="rgba(0,0,0,1)"/><w:sz w:val="20"/><w:szCs w:val="20"/><w:b w:val="0"/><w:bCs w:val="0"/><w:shd w:val="clear" w:fill="rgba(0,0,0,0)"/></w:rPr><w:t xml:space="preserve">(3)</w:t></w:r></w:p><w:p><w:pPr><w:jc w:val="start"/></w:pPr><w:r><w:rPr><w:rFonts w:ascii="Times New Roman" w:hAnsi="Times New Roman" w:eastAsia="Times New Roman" w:cs="Times New Roman"/><w:color w:val="rgba(0,0,0,1)"/><w:sz w:val="20"/><w:szCs w:val="20"/><w:b w:val="0"/><w:bCs w:val="0"/><w:shd w:val="clear" w:fill="rgba(0,0,0,0)"/></w:rPr><w:t xml:space="preserve">Amounts reflect employee retention and benefits as well as other exit cost associated with the Company’s restructuring activities. See Note “12. Restructuring”.</w:t></w:r></w:p><w:p><w:pPr><w:jc w:val="center"/><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26</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pPr><w:r><w:rPr><w:rFonts w:ascii="Times New Roman" w:hAnsi="Times New Roman" w:eastAsia="Times New Roman" w:cs="Times New Roman"/><w:color w:val="rgba(0,0,0,1)"/><w:sz w:val="20"/><w:szCs w:val="20"/><w:b w:val="0"/><w:bCs w:val="0"/><w:shd w:val="clear" w:fill="rgba(0,0,0,0)"/></w:rPr><w:t xml:space="preserve">(4)</w:t></w:r></w:p><w:p><w:pPr><w:jc w:val="start"/></w:pPr><w:r><w:rPr><w:rFonts w:ascii="Times New Roman" w:hAnsi="Times New Roman" w:eastAsia="Times New Roman" w:cs="Times New Roman"/><w:color w:val="rgba(0,0,0,1)"/><w:sz w:val="20"/><w:szCs w:val="20"/><w:b w:val="0"/><w:bCs w:val="0"/><w:shd w:val="clear" w:fill="rgba(0,0,0,0)"/></w:rPr><w:t xml:space="preserve">Amounts reflect the fee the Company agreed to pay to a GPO to settle previously disputed GPO fees. See Note "4. Product and Geographic Sales".</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shd w:val="clear" w:fill="rgba(0,0,0,0)"/></w:rPr><w:t xml:space="preserve">Comparison of the Three and Six Months Ended June 30, 2022 and 2021</w:t></w:r><w:r><w:rPr><w:rFonts w:ascii="Times New Roman" w:hAnsi="Times New Roman" w:eastAsia="Times New Roman" w:cs="Times New Roman"/><w:color w:val="rgba(0,0,0,1)"/><w:sz w:val="20"/><w:szCs w:val="20"/><w:b w:val="1"/><w:b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1"/><w:bCs w:val="1"/><w:i w:val="1"/><w:iCs w:val="1"/><w:shd w:val="clear" w:fill="rgba(0,0,0,0)"/></w:rPr><w:t xml:space="preserve">Revenue</w:t></w:r><w:r><w:rPr><w:rFonts w:ascii="Times New Roman" w:hAnsi="Times New Roman" w:eastAsia="Times New Roman" w:cs="Times New Roman"/><w:color w:val="rgba(0,0,0,1)"/><w:sz w:val="20"/><w:szCs w:val="20"/><w:b w:val="1"/><w:bCs w:val="1"/><w:i w:val="1"/><w:iCs w:val="1"/></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49550" w:type="dxa"/><w:gridCol w:w="9750" w:type="dxa"/><w:gridCol w:w="0" w:type="dxa"/><w:gridCol w:w="6300" w:type="dxa"/><w:gridCol w:w="0" w:type="dxa"/><w:gridCol w:w="9750" w:type="dxa"/><w:gridCol w:w="0" w:type="dxa"/><w:gridCol w:w="45750" w:type="dxa"/><w:gridCol w:w="0" w:type="dxa"/><w:gridCol w:w="9750" w:type="dxa"/><w:gridCol w:w="0" w:type="dxa"/><w:gridCol w:w="43450" w:type="dxa"/><w:gridCol w:w="0" w:type="dxa"/><w:gridCol w:w="9750" w:type="dxa"/><w:gridCol w:w="0" w:type="dxa"/><w:gridCol w:w="15850" w:type="dxa"/><w:gridCol w:w="0" w:type="dxa"/></w:tblGrid><w:tblPr><w:tblW w:w="0" w:type="pct"/><w:tblLayout w:type="autofit"/></w:tblPr><w:tr><w:trPr/><w:tc><w:tcPr><w:tcW w:w="49550" w:type="pct"/><w:noWrap/></w:tcPr><w:p><w:pPr/></w:p></w:tc><w:tc><w:tcPr><w:tcW w:w="9750" w:type="pct"/><w:noWrap/></w:tcPr><w:p><w:pPr/></w:p></w:tc><w:tc><w:tcPr><w:tcW w:w="0" w:type="pct"/><w:noWrap/></w:tcPr><w:p><w:pPr/></w:p></w:tc><w:tc><w:tcPr><w:tcW w:w="6300" w:type="pct"/><w:noWrap/></w:tcPr><w:p><w:pPr/></w:p></w:tc><w:tc><w:tcPr><w:tcW w:w="0" w:type="pct"/><w:noWrap/></w:tcPr><w:p><w:pPr/></w:p></w:tc><w:tc><w:tcPr><w:tcW w:w="9750" w:type="pct"/><w:noWrap/></w:tcPr><w:p><w:pPr/></w:p></w:tc><w:tc><w:tcPr><w:tcW w:w="0" w:type="pct"/><w:noWrap/></w:tcPr><w:p><w:pPr/></w:p></w:tc><w:tc><w:tcPr><w:tcW w:w="45750" w:type="pct"/><w:noWrap/></w:tcPr><w:p><w:pPr/></w:p></w:tc><w:tc><w:tcPr><w:tcW w:w="0" w:type="pct"/><w:noWrap/></w:tcPr><w:p><w:pPr/></w:p></w:tc><w:tc><w:tcPr><w:tcW w:w="9750" w:type="pct"/><w:noWrap/></w:tcPr><w:p><w:pPr/></w:p></w:tc><w:tc><w:tcPr><w:tcW w:w="0" w:type="pct"/><w:noWrap/></w:tcPr><w:p><w:pPr/></w:p></w:tc><w:tc><w:tcPr><w:tcW w:w="43450" w:type="pct"/><w:noWrap/></w:tcPr><w:p><w:pPr/></w:p></w:tc><w:tc><w:tcPr><w:tcW w:w="0" w:type="pct"/><w:noWrap/></w:tcPr><w:p><w:pPr/></w:p></w:tc><w:tc><w:tcPr><w:tcW w:w="9750" w:type="pct"/><w:noWrap/></w:tcPr><w:p><w:pPr/></w:p></w:tc><w:tc><w:tcPr><w:tcW w:w="0" w:type="pct"/><w:noWrap/></w:tcPr><w:p><w:pPr/></w:p></w:tc><w:tc><w:tcPr><w:tcW w:w="15850" w:type="pct"/><w:noWrap/></w:tcPr><w:p><w:pPr/></w:p></w:tc><w:tc><w:tcPr><w:tcW w:w="0" w:type="pct"/><w:noWrap/></w:tcPr><w:p><w:pP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Three Months Ended</w:t></w:r><w:br/><w:r><w:rPr><w:rFonts w:ascii="Times New Roman" w:hAnsi="Times New Roman" w:eastAsia="Times New Roman" w:cs="Times New Roman"/><w:color w:val="rgba(0,0,0,1)"/><w:sz w:val="16"/><w:szCs w:val="16"/><w:b w:val="1"/><w:bCs w:val="1"/><w:shd w:val="clear" w:fill="rgba(0,0,0,0)"/></w:rPr><w:t xml:space="preserve">June 30,</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Change</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gridSpan w:val="14"/><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(in thousands, except for percentages)</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Advanced Wound Care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113,791</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111,436</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2,355</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r><w:trPr><w:trHeight w:val="20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Surgical & Sports Medicine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7,610</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11,760</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(4,150</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(35</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Net revenue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121,401</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123,196</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(1,795</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49550" w:type="dxa"/><w:gridCol w:w="9750" w:type="dxa"/><w:gridCol w:w="0" w:type="dxa"/><w:gridCol w:w="6300" w:type="dxa"/><w:gridCol w:w="0" w:type="dxa"/><w:gridCol w:w="9750" w:type="dxa"/><w:gridCol w:w="0" w:type="dxa"/><w:gridCol w:w="45750" w:type="dxa"/><w:gridCol w:w="0" w:type="dxa"/><w:gridCol w:w="9750" w:type="dxa"/><w:gridCol w:w="0" w:type="dxa"/><w:gridCol w:w="43450" w:type="dxa"/><w:gridCol w:w="0" w:type="dxa"/><w:gridCol w:w="9750" w:type="dxa"/><w:gridCol w:w="0" w:type="dxa"/><w:gridCol w:w="15850" w:type="dxa"/><w:gridCol w:w="0" w:type="dxa"/></w:tblGrid><w:tblPr><w:tblW w:w="0" w:type="pct"/><w:tblLayout w:type="autofit"/></w:tblPr><w:tr><w:trPr/><w:tc><w:tcPr><w:tcW w:w="49550" w:type="pct"/><w:noWrap/></w:tcPr><w:p><w:pPr/></w:p></w:tc><w:tc><w:tcPr><w:tcW w:w="9750" w:type="pct"/><w:noWrap/></w:tcPr><w:p><w:pPr/></w:p></w:tc><w:tc><w:tcPr><w:tcW w:w="0" w:type="pct"/><w:noWrap/></w:tcPr><w:p><w:pPr/></w:p></w:tc><w:tc><w:tcPr><w:tcW w:w="6300" w:type="pct"/><w:noWrap/></w:tcPr><w:p><w:pPr/></w:p></w:tc><w:tc><w:tcPr><w:tcW w:w="0" w:type="pct"/><w:noWrap/></w:tcPr><w:p><w:pPr/></w:p></w:tc><w:tc><w:tcPr><w:tcW w:w="9750" w:type="pct"/><w:noWrap/></w:tcPr><w:p><w:pPr/></w:p></w:tc><w:tc><w:tcPr><w:tcW w:w="0" w:type="pct"/><w:noWrap/></w:tcPr><w:p><w:pPr/></w:p></w:tc><w:tc><w:tcPr><w:tcW w:w="45750" w:type="pct"/><w:noWrap/></w:tcPr><w:p><w:pPr/></w:p></w:tc><w:tc><w:tcPr><w:tcW w:w="0" w:type="pct"/><w:noWrap/></w:tcPr><w:p><w:pPr/></w:p></w:tc><w:tc><w:tcPr><w:tcW w:w="9750" w:type="pct"/><w:noWrap/></w:tcPr><w:p><w:pPr/></w:p></w:tc><w:tc><w:tcPr><w:tcW w:w="0" w:type="pct"/><w:noWrap/></w:tcPr><w:p><w:pPr/></w:p></w:tc><w:tc><w:tcPr><w:tcW w:w="43450" w:type="pct"/><w:noWrap/></w:tcPr><w:p><w:pPr/></w:p></w:tc><w:tc><w:tcPr><w:tcW w:w="0" w:type="pct"/><w:noWrap/></w:tcPr><w:p><w:pPr/></w:p></w:tc><w:tc><w:tcPr><w:tcW w:w="9750" w:type="pct"/><w:noWrap/></w:tcPr><w:p><w:pPr/></w:p></w:tc><w:tc><w:tcPr><w:tcW w:w="0" w:type="pct"/><w:noWrap/></w:tcPr><w:p><w:pPr/></w:p></w:tc><w:tc><w:tcPr><w:tcW w:w="15850" w:type="pct"/><w:noWrap/></w:tcPr><w:p><w:pPr/></w:p></w:tc><w:tc><w:tcPr><w:tcW w:w="0" w:type="pct"/><w:noWrap/></w:tcPr><w:p><w:pP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Six Months Ended</w:t></w:r><w:br/><w:r><w:rPr><w:rFonts w:ascii="Times New Roman" w:hAnsi="Times New Roman" w:eastAsia="Times New Roman" w:cs="Times New Roman"/><w:color w:val="rgba(0,0,0,1)"/><w:sz w:val="16"/><w:szCs w:val="16"/><w:b w:val="1"/><w:bCs w:val="1"/><w:shd w:val="clear" w:fill="rgba(0,0,0,0)"/></w:rPr><w:t xml:space="preserve">June 30,</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Change</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gridSpan w:val="14"/><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(in thousands, except for percentages)</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Advanced Wound Care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203,881</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202,144</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1,737</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r><w:trPr><w:trHeight w:val="20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Surgical & Sports Medicine</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14,637</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23,604</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(8,967</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(38</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Net revenue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218,518</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225,748</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(7,230</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bl><w:p><w:pPr><w:jc w:val="start"/><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Net revenue from our Advanced Wound Care products in the three and six months ended June 30,2022 was $113.8 million and $203.9 million, respectively, increased slightly compared to the net revenue of $111.4 million and $202.1 million in the three and six months ended June 30, 2021, respectively. The slight increase in Advanced Wound Care net revenue was primarily attributable to the expanded sales force, increased sales to existing and new customers, and increased adoption of our PuraPly line extensions, partially offset by the decrease of our Dermagraft product revenue, the sales of which were suspended in the three months ended June 30, 2022, and the settlement fee with a GPO recorded as a direct reduction of revenue in the three and six months ended June 30, 2022.</w:t></w:r><w:r><w:rPr><w:rFonts w:ascii="Times New Roman" w:hAnsi="Times New Roman" w:eastAsia="Times New Roman" w:cs="Times New Roman"/><w:color w:val="rgba(0,0,0,1)"/><w:sz w:val="20"/><w:szCs w:val="20"/><w:b w:val="0"/><w:bCs w:val="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Net revenue from our Surgical & Sports Medicine products decreased by $4.2 million, or 35%, to $7.6 million in the three months ended June 30, 2022 from $11.8 million in the three months ended June 30, 2021. Net revenue from our Surgical & Sports Medicine products decreased by $9.0 million, or 38%, to $14.6 million in the six months ended June 30, 2022 from $23.6 million in the six months ended June 30, 2021. The decrease in Surgical & Sports Medicine net revenue was primarily due to the continued impact of the suspension of marketing of our ReNu and NuCel products in connection with the expiration of the FDA’s enforcement grace period on May 31, 2021 and, to a lesser extent, the impact of the COVID-19 pandemic on sales of our Affinity product.</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Included within net revenue is PuraPly revenue of $69.4 million and $37.6 million for the three months ended June 30, 2022 and 2021, respectively, and $122.2 million and $78.9 million for the six months ended June 30, 2022 and 2021, respectively. The continued increase in PuraPly revenue in the three and six months ended June 30, 2022 was due to the expanded sales force, expanded sites of care, and increased adoption, by existing and new customers, of our PuraPly line extensions.</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i w:val="1"/><w:iCs w:val="1"/><w:shd w:val="clear" w:fill="rgba(0,0,0,0)"/></w:rPr><w:t xml:space="preserve">Cost of goods sold and gross profit</w:t></w:r><w:r><w:rPr><w:rFonts w:ascii="Times New Roman" w:hAnsi="Times New Roman" w:eastAsia="Times New Roman" w:cs="Times New Roman"/><w:color w:val="rgba(0,0,0,1)"/><w:sz w:val="20"/><w:szCs w:val="20"/><w:b w:val="1"/><w:bCs w:val="1"/><w:i w:val="1"/><w:iCs w:val="1"/></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26550" w:type="dxa"/><w:gridCol w:w="10850" w:type="dxa"/><w:gridCol w:w="0" w:type="dxa"/><w:gridCol w:w="48550" w:type="dxa"/><w:gridCol w:w="0" w:type="dxa"/><w:gridCol w:w="10850" w:type="dxa"/><w:gridCol w:w="0" w:type="dxa"/><w:gridCol w:w="37200" w:type="dxa"/><w:gridCol w:w="0" w:type="dxa"/><w:gridCol w:w="10850" w:type="dxa"/><w:gridCol w:w="0" w:type="dxa"/><w:gridCol w:w="39749999999999900" w:type="dxa"/><w:gridCol w:w="0" w:type="dxa"/><w:gridCol w:w="10850" w:type="dxa"/><w:gridCol w:w="0" w:type="dxa"/><w:gridCol w:w="4650" w:type="dxa"/><w:gridCol w:w="0" w:type="dxa"/></w:tblGrid><w:tblPr><w:tblW w:w="0" w:type="pct"/><w:tblLayout w:type="autofit"/></w:tblPr><w:tr><w:trPr/><w:tc><w:tcPr><w:tcW w:w="26550" w:type="pct"/><w:noWrap/></w:tcPr><w:p><w:pPr/></w:p></w:tc><w:tc><w:tcPr><w:tcW w:w="10850" w:type="pct"/><w:noWrap/></w:tcPr><w:p><w:pPr/></w:p></w:tc><w:tc><w:tcPr><w:tcW w:w="0" w:type="pct"/><w:noWrap/></w:tcPr><w:p><w:pPr/></w:p></w:tc><w:tc><w:tcPr><w:tcW w:w="48550" w:type="pct"/><w:noWrap/></w:tcPr><w:p><w:pPr/></w:p></w:tc><w:tc><w:tcPr><w:tcW w:w="0" w:type="pct"/><w:noWrap/></w:tcPr><w:p><w:pPr/></w:p></w:tc><w:tc><w:tcPr><w:tcW w:w="10850" w:type="pct"/><w:noWrap/></w:tcPr><w:p><w:pPr/></w:p></w:tc><w:tc><w:tcPr><w:tcW w:w="0" w:type="pct"/><w:noWrap/></w:tcPr><w:p><w:pPr/></w:p></w:tc><w:tc><w:tcPr><w:tcW w:w="37200" w:type="pct"/><w:noWrap/></w:tcPr><w:p><w:pPr/></w:p></w:tc><w:tc><w:tcPr><w:tcW w:w="0" w:type="pct"/><w:noWrap/></w:tcPr><w:p><w:pPr/></w:p></w:tc><w:tc><w:tcPr><w:tcW w:w="10850" w:type="pct"/><w:noWrap/></w:tcPr><w:p><w:pPr/></w:p></w:tc><w:tc><w:tcPr><w:tcW w:w="0" w:type="pct"/><w:noWrap/></w:tcPr><w:p><w:pPr/></w:p></w:tc><w:tc><w:tcPr><w:tcW w:w="39749999999999900" w:type="pct"/><w:noWrap/></w:tcPr><w:p><w:pPr/></w:p></w:tc><w:tc><w:tcPr><w:tcW w:w="0" w:type="pct"/><w:noWrap/></w:tcPr><w:p><w:pPr/></w:p></w:tc><w:tc><w:tcPr><w:tcW w:w="10850" w:type="pct"/><w:noWrap/></w:tcPr><w:p><w:pPr/></w:p></w:tc><w:tc><w:tcPr><w:tcW w:w="0" w:type="pct"/><w:noWrap/></w:tcPr><w:p><w:pPr/></w:p></w:tc><w:tc><w:tcPr><w:tcW w:w="4650" w:type="pct"/><w:noWrap/></w:tcPr><w:p><w:pPr/></w:p></w:tc><w:tc><w:tcPr><w:tcW w:w="0" w:type="pct"/><w:noWrap/></w:tcPr><w:p><w:pP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Three Months Ended</w:t></w:r><w:br/><w:r><w:rPr><w:rFonts w:ascii="Times New Roman" w:hAnsi="Times New Roman" w:eastAsia="Times New Roman" w:cs="Times New Roman"/><w:color w:val="rgba(0,0,0,1)"/><w:sz w:val="16"/><w:szCs w:val="16"/><w:b w:val="1"/><w:bCs w:val="1"/><w:shd w:val="clear" w:fill="rgba(0,0,0,0)"/></w:rPr><w:t xml:space="preserve">June 30,</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Change</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gridSpan w:val="14"/><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(in thousands, except for percentages)</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Cost of goods sold</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26,652</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29,940</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(3,288</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(11</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r><w:trPr><w:trHeight w:val="20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Gross profit</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94,749</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93,256</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1,493</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24750" w:type="dxa"/><w:gridCol w:w="10800" w:type="dxa"/><w:gridCol w:w="0" w:type="dxa"/><w:gridCol w:w="4950" w:type="dxa"/><w:gridCol w:w="0" w:type="dxa"/><w:gridCol w:w="10800" w:type="dxa"/><w:gridCol w:w="0" w:type="dxa"/><w:gridCol w:w="40700" w:type="dxa"/><w:gridCol w:w="0" w:type="dxa"/><w:gridCol w:w="10800" w:type="dxa"/><w:gridCol w:w="0" w:type="dxa"/><w:gridCol w:w="39700" w:type="dxa"/><w:gridCol w:w="0" w:type="dxa"/><w:gridCol w:w="10800" w:type="dxa"/><w:gridCol w:w="0" w:type="dxa"/><w:gridCol w:w="2050" w:type="dxa"/><w:gridCol w:w="0" w:type="dxa"/></w:tblGrid><w:tblPr><w:tblW w:w="0" w:type="pct"/><w:tblLayout w:type="autofit"/></w:tblPr><w:tr><w:trPr/><w:tc><w:tcPr><w:tcW w:w="24750" w:type="pct"/><w:noWrap/></w:tcPr><w:p><w:pPr/></w:p></w:tc><w:tc><w:tcPr><w:tcW w:w="10800" w:type="pct"/><w:noWrap/></w:tcPr><w:p><w:pPr/></w:p></w:tc><w:tc><w:tcPr><w:tcW w:w="0" w:type="pct"/><w:noWrap/></w:tcPr><w:p><w:pPr/></w:p></w:tc><w:tc><w:tcPr><w:tcW w:w="4950" w:type="pct"/><w:noWrap/></w:tcPr><w:p><w:pPr/></w:p></w:tc><w:tc><w:tcPr><w:tcW w:w="0" w:type="pct"/><w:noWrap/></w:tcPr><w:p><w:pPr/></w:p></w:tc><w:tc><w:tcPr><w:tcW w:w="10800" w:type="pct"/><w:noWrap/></w:tcPr><w:p><w:pPr/></w:p></w:tc><w:tc><w:tcPr><w:tcW w:w="0" w:type="pct"/><w:noWrap/></w:tcPr><w:p><w:pPr/></w:p></w:tc><w:tc><w:tcPr><w:tcW w:w="40700" w:type="pct"/><w:noWrap/></w:tcPr><w:p><w:pPr/></w:p></w:tc><w:tc><w:tcPr><w:tcW w:w="0" w:type="pct"/><w:noWrap/></w:tcPr><w:p><w:pPr/></w:p></w:tc><w:tc><w:tcPr><w:tcW w:w="10800" w:type="pct"/><w:noWrap/></w:tcPr><w:p><w:pPr/></w:p></w:tc><w:tc><w:tcPr><w:tcW w:w="0" w:type="pct"/><w:noWrap/></w:tcPr><w:p><w:pPr/></w:p></w:tc><w:tc><w:tcPr><w:tcW w:w="39700" w:type="pct"/><w:noWrap/></w:tcPr><w:p><w:pPr/></w:p></w:tc><w:tc><w:tcPr><w:tcW w:w="0" w:type="pct"/><w:noWrap/></w:tcPr><w:p><w:pPr/></w:p></w:tc><w:tc><w:tcPr><w:tcW w:w="10800" w:type="pct"/><w:noWrap/></w:tcPr><w:p><w:pPr/></w:p></w:tc><w:tc><w:tcPr><w:tcW w:w="0" w:type="pct"/><w:noWrap/></w:tcPr><w:p><w:pPr/></w:p></w:tc><w:tc><w:tcPr><w:tcW w:w="2050" w:type="pct"/><w:noWrap/></w:tcPr><w:p><w:pPr/></w:p></w:tc><w:tc><w:tcPr><w:tcW w:w="0" w:type="pct"/><w:noWrap/></w:tcPr><w:p><w:pP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Six Months Ended</w:t></w:r><w:br/><w:r><w:rPr><w:rFonts w:ascii="Times New Roman" w:hAnsi="Times New Roman" w:eastAsia="Times New Roman" w:cs="Times New Roman"/><w:color w:val="rgba(0,0,0,1)"/><w:sz w:val="16"/><w:szCs w:val="16"/><w:b w:val="1"/><w:bCs w:val="1"/><w:shd w:val="clear" w:fill="rgba(0,0,0,0)"/></w:rPr><w:t xml:space="preserve">June 30,</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Change</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center"/><w:shd w:val="clear" w:fill="rgba(0,0,0,0)"/><w:gridSpan w:val="14"/><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(in thousands, except for percentages)</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Cost of goods sold</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51,732</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55,435</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(3,703</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r><w:trPr><w:trHeight w:val="20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Gross profit</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166,786</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170,313</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(3,527</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27</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Cost of goods sold decreased by $3.3 million, or 11%, to $26.7 million in the three months ended June 30, 2022 from $29.9 million in the three months ended June 30, 2021. Cost of goods sold decreased by $3.7 million or 7% to $51.7 million in the six months ended June 30, 2022 from $55.4 million in the six months ended June 30, 2021. The decrease in cost of goods sold was primarily due to decreased sales volume in our Surgical & Sports Medicine products.</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Gross profit in the three months ended June 30, 2022 was $94.7 million, increased slightly compared to the gross profit of $93.3 million in the three months ended June 30, 2021. Gross profit decreased by $3.5 million, or 2%, to $166.8 million in the six months ended June 30, 2022 from $170.3 million in the six months ended June 30, 2021. The decrease in gross profit resulted primarily from decreased sales volume in Surgical & Sports Medicine products and increased manufacturing-related costs, partially offset by a shift in product mix to our higher gross margin products.</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i w:val="1"/><w:iCs w:val="1"/><w:shd w:val="clear" w:fill="rgba(0,0,0,0)"/></w:rPr><w:t xml:space="preserve">Research and Development Expenses</w:t></w:r><w:r><w:rPr><w:rFonts w:ascii="Times New Roman" w:hAnsi="Times New Roman" w:eastAsia="Times New Roman" w:cs="Times New Roman"/><w:color w:val="rgba(0,0,0,1)"/><w:sz w:val="20"/><w:szCs w:val="20"/><w:b w:val="1"/><w:bCs w:val="1"/><w:i w:val="1"/><w:iCs w:val="1"/></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43800" w:type="dxa"/><w:gridCol w:w="6700" w:type="dxa"/><w:gridCol w:w="0" w:type="dxa"/><w:gridCol w:w="8700" w:type="dxa"/><w:gridCol w:w="0" w:type="dxa"/><w:gridCol w:w="6700" w:type="dxa"/><w:gridCol w:w="0" w:type="dxa"/><w:gridCol w:w="47800" w:type="dxa"/><w:gridCol w:w="0" w:type="dxa"/><w:gridCol w:w="6700" w:type="dxa"/><w:gridCol w:w="0" w:type="dxa"/><w:gridCol w:w="49900" w:type="dxa"/><w:gridCol w:w="0" w:type="dxa"/><w:gridCol w:w="6700" w:type="dxa"/><w:gridCol w:w="0" w:type="dxa"/><w:gridCol w:w="23050" w:type="dxa"/><w:gridCol w:w="0" w:type="dxa"/></w:tblGrid><w:tblPr><w:tblW w:w="0" w:type="pct"/><w:tblLayout w:type="autofit"/></w:tblPr><w:tr><w:trPr/><w:tc><w:tcPr><w:tcW w:w="43800" w:type="pct"/><w:noWrap/></w:tcPr><w:p><w:pPr/></w:p></w:tc><w:tc><w:tcPr><w:tcW w:w="6700" w:type="pct"/><w:noWrap/></w:tcPr><w:p><w:pPr/></w:p></w:tc><w:tc><w:tcPr><w:tcW w:w="0" w:type="pct"/><w:noWrap/></w:tcPr><w:p><w:pPr/></w:p></w:tc><w:tc><w:tcPr><w:tcW w:w="8700" w:type="pct"/><w:noWrap/></w:tcPr><w:p><w:pPr/></w:p></w:tc><w:tc><w:tcPr><w:tcW w:w="0" w:type="pct"/><w:noWrap/></w:tcPr><w:p><w:pPr/></w:p></w:tc><w:tc><w:tcPr><w:tcW w:w="6700" w:type="pct"/><w:noWrap/></w:tcPr><w:p><w:pPr/></w:p></w:tc><w:tc><w:tcPr><w:tcW w:w="0" w:type="pct"/><w:noWrap/></w:tcPr><w:p><w:pPr/></w:p></w:tc><w:tc><w:tcPr><w:tcW w:w="47800" w:type="pct"/><w:noWrap/></w:tcPr><w:p><w:pPr/></w:p></w:tc><w:tc><w:tcPr><w:tcW w:w="0" w:type="pct"/><w:noWrap/></w:tcPr><w:p><w:pPr/></w:p></w:tc><w:tc><w:tcPr><w:tcW w:w="6700" w:type="pct"/><w:noWrap/></w:tcPr><w:p><w:pPr/></w:p></w:tc><w:tc><w:tcPr><w:tcW w:w="0" w:type="pct"/><w:noWrap/></w:tcPr><w:p><w:pPr/></w:p></w:tc><w:tc><w:tcPr><w:tcW w:w="49900" w:type="pct"/><w:noWrap/></w:tcPr><w:p><w:pPr/></w:p></w:tc><w:tc><w:tcPr><w:tcW w:w="0" w:type="pct"/><w:noWrap/></w:tcPr><w:p><w:pPr/></w:p></w:tc><w:tc><w:tcPr><w:tcW w:w="6700" w:type="pct"/><w:noWrap/></w:tcPr><w:p><w:pPr/></w:p></w:tc><w:tc><w:tcPr><w:tcW w:w="0" w:type="pct"/><w:noWrap/></w:tcPr><w:p><w:pPr/></w:p></w:tc><w:tc><w:tcPr><w:tcW w:w="23050" w:type="pct"/><w:noWrap/></w:tcPr><w:p><w:pPr/></w:p></w:tc><w:tc><w:tcPr><w:tcW w:w="0" w:type="pct"/><w:noWrap/></w:tcPr><w:p><w:pP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Three Months Ended</w:t></w:r><w:br/><w:r><w:rPr><w:rFonts w:ascii="Times New Roman" w:hAnsi="Times New Roman" w:eastAsia="Times New Roman" w:cs="Times New Roman"/><w:color w:val="rgba(0,0,0,1)"/><w:sz w:val="16"/><w:szCs w:val="16"/><w:b w:val="1"/><w:bCs w:val="1"/><w:shd w:val="clear" w:fill="rgba(0,0,0,0)"/></w:rPr><w:t xml:space="preserve">June 30,</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Change</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 </w:t></w: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14"/><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(in thousands, except for percentages)</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Research and development</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10,205</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7,320</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2,885</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39</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43300" w:type="dxa"/><w:gridCol w:w="6700" w:type="dxa"/><w:gridCol w:w="0" w:type="dxa"/><w:gridCol w:w="8700" w:type="dxa"/><w:gridCol w:w="0" w:type="dxa"/><w:gridCol w:w="6700" w:type="dxa"/><w:gridCol w:w="0" w:type="dxa"/><w:gridCol w:w="48300" w:type="dxa"/><w:gridCol w:w="0" w:type="dxa"/><w:gridCol w:w="6700" w:type="dxa"/><w:gridCol w:w="0" w:type="dxa"/><w:gridCol w:w="49900" w:type="dxa"/><w:gridCol w:w="0" w:type="dxa"/><w:gridCol w:w="6700" w:type="dxa"/><w:gridCol w:w="0" w:type="dxa"/><w:gridCol w:w="23050" w:type="dxa"/><w:gridCol w:w="0" w:type="dxa"/></w:tblGrid><w:tblPr><w:tblW w:w="0" w:type="pct"/><w:tblLayout w:type="autofit"/></w:tblPr><w:tr><w:trPr/><w:tc><w:tcPr><w:tcW w:w="43300" w:type="pct"/><w:noWrap/></w:tcPr><w:p><w:pPr/></w:p></w:tc><w:tc><w:tcPr><w:tcW w:w="6700" w:type="pct"/><w:noWrap/></w:tcPr><w:p><w:pPr/></w:p></w:tc><w:tc><w:tcPr><w:tcW w:w="0" w:type="pct"/><w:noWrap/></w:tcPr><w:p><w:pPr/></w:p></w:tc><w:tc><w:tcPr><w:tcW w:w="8700" w:type="pct"/><w:noWrap/></w:tcPr><w:p><w:pPr/></w:p></w:tc><w:tc><w:tcPr><w:tcW w:w="0" w:type="pct"/><w:noWrap/></w:tcPr><w:p><w:pPr/></w:p></w:tc><w:tc><w:tcPr><w:tcW w:w="6700" w:type="pct"/><w:noWrap/></w:tcPr><w:p><w:pPr/></w:p></w:tc><w:tc><w:tcPr><w:tcW w:w="0" w:type="pct"/><w:noWrap/></w:tcPr><w:p><w:pPr/></w:p></w:tc><w:tc><w:tcPr><w:tcW w:w="48300" w:type="pct"/><w:noWrap/></w:tcPr><w:p><w:pPr/></w:p></w:tc><w:tc><w:tcPr><w:tcW w:w="0" w:type="pct"/><w:noWrap/></w:tcPr><w:p><w:pPr/></w:p></w:tc><w:tc><w:tcPr><w:tcW w:w="6700" w:type="pct"/><w:noWrap/></w:tcPr><w:p><w:pPr/></w:p></w:tc><w:tc><w:tcPr><w:tcW w:w="0" w:type="pct"/><w:noWrap/></w:tcPr><w:p><w:pPr/></w:p></w:tc><w:tc><w:tcPr><w:tcW w:w="49900" w:type="pct"/><w:noWrap/></w:tcPr><w:p><w:pPr/></w:p></w:tc><w:tc><w:tcPr><w:tcW w:w="0" w:type="pct"/><w:noWrap/></w:tcPr><w:p><w:pPr/></w:p></w:tc><w:tc><w:tcPr><w:tcW w:w="6700" w:type="pct"/><w:noWrap/></w:tcPr><w:p><w:pPr/></w:p></w:tc><w:tc><w:tcPr><w:tcW w:w="0" w:type="pct"/><w:noWrap/></w:tcPr><w:p><w:pPr/></w:p></w:tc><w:tc><w:tcPr><w:tcW w:w="23050" w:type="pct"/><w:noWrap/></w:tcPr><w:p><w:pPr/></w:p></w:tc><w:tc><w:tcPr><w:tcW w:w="0" w:type="pct"/><w:noWrap/></w:tcPr><w:p><w:pP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Six Months Ended</w:t></w:r><w:br/><w:r><w:rPr><w:rFonts w:ascii="Times New Roman" w:hAnsi="Times New Roman" w:eastAsia="Times New Roman" w:cs="Times New Roman"/><w:color w:val="rgba(0,0,0,1)"/><w:sz w:val="16"/><w:szCs w:val="16"/><w:b w:val="1"/><w:bCs w:val="1"/><w:shd w:val="clear" w:fill="rgba(0,0,0,0)"/></w:rPr><w:t xml:space="preserve">June 30,</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Change</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center"/><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bottom"/><w:shd w:val="clear" w:fill="rgba(255,255,255,1)"/><w:noWrap/></w:tcPr><w:p><w:pPr><w:jc w:val="start"/><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c><w:tcPr><w:tcW w:w="0" w:type="pct"/><w:vAlign w:val="center"/><w:shd w:val="clear" w:fill="rgba(255,255,255,1)"/><w:gridSpan w:val="14"/><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(in thousands, except for percentages)</w:t></w:r></w:p></w:tc><w:tc><w:tcPr><w:tcW w:w="0" w:type="pct"/><w:vAlign w:val="center"/><w:shd w:val="clear" w:fill="rgba(255,255,255,1)"/><w:noWrap/></w:tcPr><w:p><w:pPr><w:jc w:val="center"/><w:ind w:left="0" w:right="0" w:firstLine="0" w:hanging="0"/><w:spacing w:before="0" w:after="0" w:line="252" w:lineRule="auto"/></w:pPr><w:r><w:rPr><w:rFonts w:ascii="Times New Roman" w:hAnsi="Times New Roman" w:eastAsia="Times New Roman" w:cs="Times New Roman"/><w:sz w:val="16"/><w:szCs w:val="16"/><w:shd w:val="clear" w:fill="rgba(255,255,255,1)"/></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Research and development</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18,792</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13,529</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5,263</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39</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bl><w:p><w:pPr><w:jc w:val="start"/><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Research and development expenses increased by $2.9 million, or 39%, to $10.2 million in the three months ended June 30, 2022 from $7.3 million in the three months ended June 30, 2021. Research and development expenses increased by $5.3 million, or 39%, to $18.8 million in the six months ended June 30, 2022 from $13.5 million in the six months ended June 30, 2021. The increase in research and development expenses was primarily due to increased headcount associated with our existing Advanced Wound Care and Surgical & Sports Medicine products, an increase in product costs associated with our pipeline products not yet commercialized and an increase in the clinical study and related costs necessary to seek regulatory approvals for certain of our products.</w:t></w:r><w:r><w:rPr><w:rFonts w:ascii="Times New Roman" w:hAnsi="Times New Roman" w:eastAsia="Times New Roman" w:cs="Times New Roman"/><w:color w:val="rgba(0,0,0,1)"/><w:sz w:val="20"/><w:szCs w:val="20"/><w:b w:val="0"/><w:bCs w:val="0"/></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i w:val="1"/><w:iCs w:val="1"/><w:shd w:val="clear" w:fill="rgba(0,0,0,0)"/></w:rPr><w:t xml:space="preserve">Selling, General and Administrative Expenses</w:t></w:r><w:r><w:rPr><w:rFonts w:ascii="Times New Roman" w:hAnsi="Times New Roman" w:eastAsia="Times New Roman" w:cs="Times New Roman"/><w:color w:val="rgba(0,0,0,1)"/><w:sz w:val="20"/><w:szCs w:val="20"/><w:b w:val="1"/><w:bCs w:val="1"/><w:i w:val="1"/><w:iCs w:val="1"/></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43050" w:type="dxa"/><w:gridCol w:w="6700" w:type="dxa"/><w:gridCol w:w="0" w:type="dxa"/><w:gridCol w:w="8650" w:type="dxa"/><w:gridCol w:w="0" w:type="dxa"/><w:gridCol w:w="6700" w:type="dxa"/><w:gridCol w:w="0" w:type="dxa"/><w:gridCol w:w="48250" w:type="dxa"/><w:gridCol w:w="0" w:type="dxa"/><w:gridCol w:w="6700" w:type="dxa"/><w:gridCol w:w="0" w:type="dxa"/><w:gridCol w:w="350" w:type="dxa"/><w:gridCol w:w="0" w:type="dxa"/><w:gridCol w:w="6700" w:type="dxa"/><w:gridCol w:w="0" w:type="dxa"/><w:gridCol w:w="2300" w:type="dxa"/><w:gridCol w:w="0" w:type="dxa"/></w:tblGrid><w:tblPr><w:tblW w:w="0" w:type="pct"/><w:tblLayout w:type="autofit"/></w:tblPr><w:tr><w:trPr/><w:tc><w:tcPr><w:tcW w:w="43050" w:type="pct"/><w:noWrap/></w:tcPr><w:p><w:pPr/></w:p></w:tc><w:tc><w:tcPr><w:tcW w:w="6700" w:type="pct"/><w:noWrap/></w:tcPr><w:p><w:pPr/></w:p></w:tc><w:tc><w:tcPr><w:tcW w:w="0" w:type="pct"/><w:noWrap/></w:tcPr><w:p><w:pPr/></w:p></w:tc><w:tc><w:tcPr><w:tcW w:w="8650" w:type="pct"/><w:noWrap/></w:tcPr><w:p><w:pPr/></w:p></w:tc><w:tc><w:tcPr><w:tcW w:w="0" w:type="pct"/><w:noWrap/></w:tcPr><w:p><w:pPr/></w:p></w:tc><w:tc><w:tcPr><w:tcW w:w="6700" w:type="pct"/><w:noWrap/></w:tcPr><w:p><w:pPr/></w:p></w:tc><w:tc><w:tcPr><w:tcW w:w="0" w:type="pct"/><w:noWrap/></w:tcPr><w:p><w:pPr/></w:p></w:tc><w:tc><w:tcPr><w:tcW w:w="48250" w:type="pct"/><w:noWrap/></w:tcPr><w:p><w:pPr/></w:p></w:tc><w:tc><w:tcPr><w:tcW w:w="0" w:type="pct"/><w:noWrap/></w:tcPr><w:p><w:pPr/></w:p></w:tc><w:tc><w:tcPr><w:tcW w:w="6700" w:type="pct"/><w:noWrap/></w:tcPr><w:p><w:pPr/></w:p></w:tc><w:tc><w:tcPr><w:tcW w:w="0" w:type="pct"/><w:noWrap/></w:tcPr><w:p><w:pPr/></w:p></w:tc><w:tc><w:tcPr><w:tcW w:w="350" w:type="pct"/><w:noWrap/></w:tcPr><w:p><w:pPr/></w:p></w:tc><w:tc><w:tcPr><w:tcW w:w="0" w:type="pct"/><w:noWrap/></w:tcPr><w:p><w:pPr/></w:p></w:tc><w:tc><w:tcPr><w:tcW w:w="6700" w:type="pct"/><w:noWrap/></w:tcPr><w:p><w:pPr/></w:p></w:tc><w:tc><w:tcPr><w:tcW w:w="0" w:type="pct"/><w:noWrap/></w:tcPr><w:p><w:pPr/></w:p></w:tc><w:tc><w:tcPr><w:tcW w:w="2300" w:type="pct"/><w:noWrap/></w:tcPr><w:p><w:pPr/></w:p></w:tc><w:tc><w:tcPr><w:tcW w:w="0" w:type="pct"/><w:noWrap/></w:tcPr><w:p><w:pP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Three Months Ended</w:t></w:r><w:br/><w:r><w:rPr><w:rFonts w:ascii="Times New Roman" w:hAnsi="Times New Roman" w:eastAsia="Times New Roman" w:cs="Times New Roman"/><w:color w:val="rgba(0,0,0,1)"/><w:sz w:val="16"/><w:szCs w:val="16"/><w:b w:val="1"/><w:bCs w:val="1"/><w:shd w:val="clear" w:fill="rgba(0,0,0,0)"/></w:rPr><w:t xml:space="preserve">June 30,</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Change</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14"/><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(in thousands, except for percentages)</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Selling, general and administrative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72,609</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62,349</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10,260</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16</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42250" w:type="dxa"/><w:gridCol w:w="6700" w:type="dxa"/><w:gridCol w:w="0" w:type="dxa"/><w:gridCol w:w="9200" w:type="dxa"/><w:gridCol w:w="0" w:type="dxa"/><w:gridCol w:w="6700" w:type="dxa"/><w:gridCol w:w="0" w:type="dxa"/><w:gridCol w:w="899999999999950" w:type="dxa"/><w:gridCol w:w="0" w:type="dxa"/><w:gridCol w:w="6700" w:type="dxa"/><w:gridCol w:w="0" w:type="dxa"/><w:gridCol w:w="47800" w:type="dxa"/><w:gridCol w:w="0" w:type="dxa"/><w:gridCol w:w="6700" w:type="dxa"/><w:gridCol w:w="0" w:type="dxa"/><w:gridCol w:w="23050" w:type="dxa"/><w:gridCol w:w="0" w:type="dxa"/></w:tblGrid><w:tblPr><w:tblW w:w="0" w:type="pct"/><w:tblLayout w:type="autofit"/></w:tblPr><w:tr><w:trPr/><w:tc><w:tcPr><w:tcW w:w="42250" w:type="pct"/><w:noWrap/></w:tcPr><w:p><w:pPr/></w:p></w:tc><w:tc><w:tcPr><w:tcW w:w="6700" w:type="pct"/><w:noWrap/></w:tcPr><w:p><w:pPr/></w:p></w:tc><w:tc><w:tcPr><w:tcW w:w="0" w:type="pct"/><w:noWrap/></w:tcPr><w:p><w:pPr/></w:p></w:tc><w:tc><w:tcPr><w:tcW w:w="9200" w:type="pct"/><w:noWrap/></w:tcPr><w:p><w:pPr/></w:p></w:tc><w:tc><w:tcPr><w:tcW w:w="0" w:type="pct"/><w:noWrap/></w:tcPr><w:p><w:pPr/></w:p></w:tc><w:tc><w:tcPr><w:tcW w:w="6700" w:type="pct"/><w:noWrap/></w:tcPr><w:p><w:pPr/></w:p></w:tc><w:tc><w:tcPr><w:tcW w:w="0" w:type="pct"/><w:noWrap/></w:tcPr><w:p><w:pPr/></w:p></w:tc><w:tc><w:tcPr><w:tcW w:w="899999999999950" w:type="pct"/><w:noWrap/></w:tcPr><w:p><w:pPr/></w:p></w:tc><w:tc><w:tcPr><w:tcW w:w="0" w:type="pct"/><w:noWrap/></w:tcPr><w:p><w:pPr/></w:p></w:tc><w:tc><w:tcPr><w:tcW w:w="6700" w:type="pct"/><w:noWrap/></w:tcPr><w:p><w:pPr/></w:p></w:tc><w:tc><w:tcPr><w:tcW w:w="0" w:type="pct"/><w:noWrap/></w:tcPr><w:p><w:pPr/></w:p></w:tc><w:tc><w:tcPr><w:tcW w:w="47800" w:type="pct"/><w:noWrap/></w:tcPr><w:p><w:pPr/></w:p></w:tc><w:tc><w:tcPr><w:tcW w:w="0" w:type="pct"/><w:noWrap/></w:tcPr><w:p><w:pPr/></w:p></w:tc><w:tc><w:tcPr><w:tcW w:w="6700" w:type="pct"/><w:noWrap/></w:tcPr><w:p><w:pPr/></w:p></w:tc><w:tc><w:tcPr><w:tcW w:w="0" w:type="pct"/><w:noWrap/></w:tcPr><w:p><w:pPr/></w:p></w:tc><w:tc><w:tcPr><w:tcW w:w="23050" w:type="pct"/><w:noWrap/></w:tcPr><w:p><w:pPr/></w:p></w:tc><w:tc><w:tcPr><w:tcW w:w="0" w:type="pct"/><w:noWrap/></w:tcPr><w:p><w:pP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Six Months Ended</w:t></w:r><w:br/><w:r><w:rPr><w:rFonts w:ascii="Times New Roman" w:hAnsi="Times New Roman" w:eastAsia="Times New Roman" w:cs="Times New Roman"/><w:color w:val="rgba(0,0,0,1)"/><w:sz w:val="16"/><w:szCs w:val="16"/><w:b w:val="1"/><w:bCs w:val="1"/><w:shd w:val="clear" w:fill="rgba(0,0,0,0)"/></w:rPr><w:t xml:space="preserve">June 30,</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Change</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14"/><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(in thousands, except for percentages)</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Selling, general and administrative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136,187</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120,581</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15,606</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13</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bl><w:p><w:pPr><w:jc w:val="start"/><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Selling, general and administrative expenses increased by $10.3 million, or 16%, to $72.6 million in the three months ended June 30, 2022 from $62.3 million in the three months ended June 30, 2021. The increase in selling, general and administrative expenses was primarily due to a $6.4 million increase related to additional headcount, primarily in our direct sales force and increased sales commissions, and a $1.3 million increase in legal, royalty and other costs associated with the ongoing operations of our business. In addition, in the three months ended June 30, 2021, the Company recorded a $2.8 million reduction to the selling, general and administrative expenses related to the CPN Earnout fair value adjustments.</w:t></w:r><w:r><w:rPr><w:rFonts w:ascii="Times New Roman" w:hAnsi="Times New Roman" w:eastAsia="Times New Roman" w:cs="Times New Roman"/><w:color w:val="rgba(0,0,0,1)"/><w:sz w:val="20"/><w:szCs w:val="20"/><w:b w:val="0"/><w:bCs w:val="0"/></w:rPr><w:t xml:space="preserve"> </w:t></w:r></w:p><w:p><w:pPr><w:jc w:val="center"/><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28</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Selling, general and administrative expenses increased by $15.6 million, or 13%, to $136.2 million in the six months ended June 30, 2022 from $120.6 million in the six months ended June 30, 2021. The increase in selling, general and administrative expenses was primarily due to a $10.6 million increase related to additional headcount, primarily in our direct sales force, a $2.1 million increase related to increased travel and marketing programs amid the relaxed COVID-19 travel restrictions and a $0.9 million increase in legal, royalty and other costs associated with the ongoing operations of our business. In addition, in the six months ended June 30, 2021, the Company recorded a $3.1 million reduction to the selling, general and administrative expenses related to the CPN Earnout fair value adjustments. These increases were partially offset by a $1.0 million decrease in restructuring costs due to the smaller scale of the restructuring activities associated with closing the Birmingham office in 2022 as compared to the restructuring activities associated with closing the La Jolla office in 2021.</w:t></w:r><w:r><w:rPr><w:rFonts w:ascii="Times New Roman" w:hAnsi="Times New Roman" w:eastAsia="Times New Roman" w:cs="Times New Roman"/><w:color w:val="rgba(0,0,0,1)"/><w:sz w:val="20"/><w:szCs w:val="20"/><w:b w:val="0"/><w:bCs w:val="0"/></w:rPr><w:t xml:space="preserve"> </w:t></w:r></w:p><w:p><w:pPr><w:jc w:val="start"/><w:ind w:left="0" w:right="0" w:firstLine="0" w:hanging="0"/><w:spacing w:before="12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color w:val="rgba(0,0,0,1)"/><w:sz w:val="20"/><w:szCs w:val="20"/><w:b w:val="1"/><w:bCs w:val="1"/><w:i w:val="1"/><w:iCs w:val="1"/><w:shd w:val="clear" w:fill="rgba(0,0,0,0)"/></w:rPr><w:t xml:space="preserve">Other Expense, net</w:t></w:r><w:r><w:rPr><w:rFonts w:ascii="Times New Roman" w:hAnsi="Times New Roman" w:eastAsia="Times New Roman" w:cs="Times New Roman"/><w:color w:val="rgba(0,0,0,1)"/><w:sz w:val="20"/><w:szCs w:val="20"/><w:b w:val="1"/><w:bCs w:val="1"/><w:i w:val="1"/><w:iCs w:val="1"/></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1050" w:type="dxa"/><w:gridCol w:w="6700" w:type="dxa"/><w:gridCol w:w="0" w:type="dxa"/><w:gridCol w:w="45550000000000050" w:type="dxa"/><w:gridCol w:w="0" w:type="dxa"/><w:gridCol w:w="6700" w:type="dxa"/><w:gridCol w:w="0" w:type="dxa"/><w:gridCol w:w="47650" w:type="dxa"/><w:gridCol w:w="0" w:type="dxa"/><w:gridCol w:w="6700" w:type="dxa"/><w:gridCol w:w="0" w:type="dxa"/><w:gridCol w:w="5350" w:type="dxa"/><w:gridCol w:w="0" w:type="dxa"/><w:gridCol w:w="6700" w:type="dxa"/><w:gridCol w:w="0" w:type="dxa"/><w:gridCol w:w="23450" w:type="dxa"/><w:gridCol w:w="0" w:type="dxa"/></w:tblGrid><w:tblPr><w:tblW w:w="0" w:type="pct"/><w:tblLayout w:type="autofit"/></w:tblPr><w:tr><w:trPr/><w:tc><w:tcPr><w:tcW w:w="1050" w:type="pct"/><w:noWrap/></w:tcPr><w:p><w:pPr/></w:p></w:tc><w:tc><w:tcPr><w:tcW w:w="6700" w:type="pct"/><w:noWrap/></w:tcPr><w:p><w:pPr/></w:p></w:tc><w:tc><w:tcPr><w:tcW w:w="0" w:type="pct"/><w:noWrap/></w:tcPr><w:p><w:pPr/></w:p></w:tc><w:tc><w:tcPr><w:tcW w:w="45550000000000050" w:type="pct"/><w:noWrap/></w:tcPr><w:p><w:pPr/></w:p></w:tc><w:tc><w:tcPr><w:tcW w:w="0" w:type="pct"/><w:noWrap/></w:tcPr><w:p><w:pPr/></w:p></w:tc><w:tc><w:tcPr><w:tcW w:w="6700" w:type="pct"/><w:noWrap/></w:tcPr><w:p><w:pPr/></w:p></w:tc><w:tc><w:tcPr><w:tcW w:w="0" w:type="pct"/><w:noWrap/></w:tcPr><w:p><w:pPr/></w:p></w:tc><w:tc><w:tcPr><w:tcW w:w="47650" w:type="pct"/><w:noWrap/></w:tcPr><w:p><w:pPr/></w:p></w:tc><w:tc><w:tcPr><w:tcW w:w="0" w:type="pct"/><w:noWrap/></w:tcPr><w:p><w:pPr/></w:p></w:tc><w:tc><w:tcPr><w:tcW w:w="6700" w:type="pct"/><w:noWrap/></w:tcPr><w:p><w:pPr/></w:p></w:tc><w:tc><w:tcPr><w:tcW w:w="0" w:type="pct"/><w:noWrap/></w:tcPr><w:p><w:pPr/></w:p></w:tc><w:tc><w:tcPr><w:tcW w:w="5350" w:type="pct"/><w:noWrap/></w:tcPr><w:p><w:pPr/></w:p></w:tc><w:tc><w:tcPr><w:tcW w:w="0" w:type="pct"/><w:noWrap/></w:tcPr><w:p><w:pPr/></w:p></w:tc><w:tc><w:tcPr><w:tcW w:w="6700" w:type="pct"/><w:noWrap/></w:tcPr><w:p><w:pPr/></w:p></w:tc><w:tc><w:tcPr><w:tcW w:w="0" w:type="pct"/><w:noWrap/></w:tcPr><w:p><w:pPr/></w:p></w:tc><w:tc><w:tcPr><w:tcW w:w="23450" w:type="pct"/><w:noWrap/></w:tcPr><w:p><w:pPr/></w:p></w:tc><w:tc><w:tcPr><w:tcW w:w="0" w:type="pct"/><w:noWrap/></w:tcPr><w:p><w:pP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Three Months Ended</w:t></w:r><w:br/><w:r><w:rPr><w:rFonts w:ascii="Times New Roman" w:hAnsi="Times New Roman" w:eastAsia="Times New Roman" w:cs="Times New Roman"/><w:color w:val="rgba(0,0,0,1)"/><w:sz w:val="16"/><w:szCs w:val="16"/><w:b w:val="1"/><w:bCs w:val="1"/><w:shd w:val="clear" w:fill="rgba(0,0,0,0)"/></w:rPr><w:t xml:space="preserve">June 30,</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Change</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14"/><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(in thousands, except for percentages)</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Interest expense, net</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(730</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(2,431</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1,701</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(70</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r><w:trPr><w:trHeight w:val="20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Other income, net</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(21</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18</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(39</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(217</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Total other expense, net</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(751</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center"/><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(2,413</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center"/><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1,662</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center"/><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(69</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0" w:type="dxa"/><w:gridCol w:w="6700" w:type="dxa"/><w:gridCol w:w="0" w:type="dxa"/><w:gridCol w:w="47100" w:type="dxa"/><w:gridCol w:w="0" w:type="dxa"/><w:gridCol w:w="6700" w:type="dxa"/><w:gridCol w:w="0" w:type="dxa"/><w:gridCol w:w="47100" w:type="dxa"/><w:gridCol w:w="0" w:type="dxa"/><w:gridCol w:w="6700" w:type="dxa"/><w:gridCol w:w="0" w:type="dxa"/><w:gridCol w:w="5350" w:type="dxa"/><w:gridCol w:w="0" w:type="dxa"/><w:gridCol w:w="6700" w:type="dxa"/><w:gridCol w:w="0" w:type="dxa"/><w:gridCol w:w="23450" w:type="dxa"/><w:gridCol w:w="0" w:type="dxa"/></w:tblGrid><w:tblPr><w:tblW w:w="0" w:type="pct"/><w:tblLayout w:type="autofit"/></w:tblPr><w:tr><w:trPr/><w:tc><w:tcPr><w:tcW w:w="0" w:type="pct"/><w:noWrap/></w:tcPr><w:p><w:pPr/></w:p></w:tc><w:tc><w:tcPr><w:tcW w:w="6700" w:type="pct"/><w:noWrap/></w:tcPr><w:p><w:pPr/></w:p></w:tc><w:tc><w:tcPr><w:tcW w:w="0" w:type="pct"/><w:noWrap/></w:tcPr><w:p><w:pPr/></w:p></w:tc><w:tc><w:tcPr><w:tcW w:w="47100" w:type="pct"/><w:noWrap/></w:tcPr><w:p><w:pPr/></w:p></w:tc><w:tc><w:tcPr><w:tcW w:w="0" w:type="pct"/><w:noWrap/></w:tcPr><w:p><w:pPr/></w:p></w:tc><w:tc><w:tcPr><w:tcW w:w="6700" w:type="pct"/><w:noWrap/></w:tcPr><w:p><w:pPr/></w:p></w:tc><w:tc><w:tcPr><w:tcW w:w="0" w:type="pct"/><w:noWrap/></w:tcPr><w:p><w:pPr/></w:p></w:tc><w:tc><w:tcPr><w:tcW w:w="47100" w:type="pct"/><w:noWrap/></w:tcPr><w:p><w:pPr/></w:p></w:tc><w:tc><w:tcPr><w:tcW w:w="0" w:type="pct"/><w:noWrap/></w:tcPr><w:p><w:pPr/></w:p></w:tc><w:tc><w:tcPr><w:tcW w:w="6700" w:type="pct"/><w:noWrap/></w:tcPr><w:p><w:pPr/></w:p></w:tc><w:tc><w:tcPr><w:tcW w:w="0" w:type="pct"/><w:noWrap/></w:tcPr><w:p><w:pPr/></w:p></w:tc><w:tc><w:tcPr><w:tcW w:w="5350" w:type="pct"/><w:noWrap/></w:tcPr><w:p><w:pPr/></w:p></w:tc><w:tc><w:tcPr><w:tcW w:w="0" w:type="pct"/><w:noWrap/></w:tcPr><w:p><w:pPr/></w:p></w:tc><w:tc><w:tcPr><w:tcW w:w="6700" w:type="pct"/><w:noWrap/></w:tcPr><w:p><w:pPr/></w:p></w:tc><w:tc><w:tcPr><w:tcW w:w="0" w:type="pct"/><w:noWrap/></w:tcPr><w:p><w:pPr/></w:p></w:tc><w:tc><w:tcPr><w:tcW w:w="23450" w:type="pct"/><w:noWrap/></w:tcPr><w:p><w:pPr/></w:p></w:tc><w:tc><w:tcPr><w:tcW w:w="0" w:type="pct"/><w:noWrap/></w:tcPr><w:p><w:pP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Six Months Ended</w:t></w:r><w:br/><w:r><w:rPr><w:rFonts w:ascii="Times New Roman" w:hAnsi="Times New Roman" w:eastAsia="Times New Roman" w:cs="Times New Roman"/><w:color w:val="rgba(0,0,0,1)"/><w:sz w:val="16"/><w:szCs w:val="16"/><w:b w:val="1"/><w:bCs w:val="1"/><w:shd w:val="clear" w:fill="rgba(0,0,0,0)"/></w:rPr><w:t xml:space="preserve">June 30,</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Change</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14"/><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(in thousands, except for percentages)</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Interest expense, net</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(1,467</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(4,901</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3,434</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(70</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r><w:trPr><w:trHeight w:val="20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Other income, net</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(24</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15</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(39</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5000" w:color="solid"/></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(260</w:t></w:r></w:p></w:tc><w:tc><w:tcPr><w:tcW w:w="0" w:type="pct"/><w:vAlign w:val="center"/><w:tcBorders><w:bottom w:val="single" w:sz="5000" w:color="solid"/></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Total other expense, net</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(1,491</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center"/><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(4,886</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center"/><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3,395</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center"/><w:ind w:left="0" w:right="0" w:firstLine="0" w:hanging="0"/><w:spacing w:before="0" w:after="0" w:line="252" w:lineRule="auto"/></w:pPr><w:r><w:rPr><w:rFonts w:ascii="Times New Roman" w:hAnsi="Times New Roman" w:eastAsia="Times New Roman" w:cs="Times New Roman"/><w:sz w:val="2"/><w:szCs w:val="2"/><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(69</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Other expense, net, decreased by $1.7 million, or 69%, to $0.8 million in the three months ended June 30, 2022 from $2.4 million in the three months ended June 30, 2021. Other expense, net, decreased by $3.4 million or 69% to $1.5 million in the six months ended June 30, 2022 from $4.9 million in the six months ended June 30, 2021. The decrease is primarily due to the decrease in interest expense resulting from the lower interest rate for the borrowings under the 2021 Credit Agreement.</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i w:val="1"/><w:iCs w:val="1"/><w:shd w:val="clear" w:fill="rgba(0,0,0,0)"/></w:rPr><w:t xml:space="preserve">Income Tax Expense</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28100" w:type="dxa"/><w:gridCol w:w="7750" w:type="dxa"/><w:gridCol w:w="0" w:type="dxa"/><w:gridCol w:w="49950" w:type="dxa"/><w:gridCol w:w="0" w:type="dxa"/><w:gridCol w:w="7750" w:type="dxa"/><w:gridCol w:w="0" w:type="dxa"/><w:gridCol w:w="49450" w:type="dxa"/><w:gridCol w:w="0" w:type="dxa"/><w:gridCol w:w="7750" w:type="dxa"/><w:gridCol w:w="0" w:type="dxa"/><w:gridCol w:w="9250" w:type="dxa"/><w:gridCol w:w="0" w:type="dxa"/><w:gridCol w:w="7750" w:type="dxa"/><w:gridCol w:w="0" w:type="dxa"/><w:gridCol w:w="32400" w:type="dxa"/><w:gridCol w:w="0" w:type="dxa"/></w:tblGrid><w:tblPr><w:tblW w:w="0" w:type="pct"/><w:tblLayout w:type="autofit"/></w:tblPr><w:tr><w:trPr/><w:tc><w:tcPr><w:tcW w:w="28100" w:type="pct"/><w:noWrap/></w:tcPr><w:p><w:pPr/></w:p></w:tc><w:tc><w:tcPr><w:tcW w:w="7750" w:type="pct"/><w:noWrap/></w:tcPr><w:p><w:pPr/></w:p></w:tc><w:tc><w:tcPr><w:tcW w:w="0" w:type="pct"/><w:noWrap/></w:tcPr><w:p><w:pPr/></w:p></w:tc><w:tc><w:tcPr><w:tcW w:w="49950" w:type="pct"/><w:noWrap/></w:tcPr><w:p><w:pPr/></w:p></w:tc><w:tc><w:tcPr><w:tcW w:w="0" w:type="pct"/><w:noWrap/></w:tcPr><w:p><w:pPr/></w:p></w:tc><w:tc><w:tcPr><w:tcW w:w="7750" w:type="pct"/><w:noWrap/></w:tcPr><w:p><w:pPr/></w:p></w:tc><w:tc><w:tcPr><w:tcW w:w="0" w:type="pct"/><w:noWrap/></w:tcPr><w:p><w:pPr/></w:p></w:tc><w:tc><w:tcPr><w:tcW w:w="49450" w:type="pct"/><w:noWrap/></w:tcPr><w:p><w:pPr/></w:p></w:tc><w:tc><w:tcPr><w:tcW w:w="0" w:type="pct"/><w:noWrap/></w:tcPr><w:p><w:pPr/></w:p></w:tc><w:tc><w:tcPr><w:tcW w:w="7750" w:type="pct"/><w:noWrap/></w:tcPr><w:p><w:pPr/></w:p></w:tc><w:tc><w:tcPr><w:tcW w:w="0" w:type="pct"/><w:noWrap/></w:tcPr><w:p><w:pPr/></w:p></w:tc><w:tc><w:tcPr><w:tcW w:w="9250" w:type="pct"/><w:noWrap/></w:tcPr><w:p><w:pPr/></w:p></w:tc><w:tc><w:tcPr><w:tcW w:w="0" w:type="pct"/><w:noWrap/></w:tcPr><w:p><w:pPr/></w:p></w:tc><w:tc><w:tcPr><w:tcW w:w="7750" w:type="pct"/><w:noWrap/></w:tcPr><w:p><w:pPr/></w:p></w:tc><w:tc><w:tcPr><w:tcW w:w="0" w:type="pct"/><w:noWrap/></w:tcPr><w:p><w:pPr/></w:p></w:tc><w:tc><w:tcPr><w:tcW w:w="32400" w:type="pct"/><w:noWrap/></w:tcPr><w:p><w:pPr/></w:p></w:tc><w:tc><w:tcPr><w:tcW w:w="0" w:type="pct"/><w:noWrap/></w:tcPr><w:p><w:pP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Three Months Ended</w:t></w:r><w:br/><w:r><w:rPr><w:rFonts w:ascii="Times New Roman" w:hAnsi="Times New Roman" w:eastAsia="Times New Roman" w:cs="Times New Roman"/><w:color w:val="rgba(0,0,0,1)"/><w:sz w:val="16"/><w:szCs w:val="16"/><w:b w:val="1"/><w:bCs w:val="1"/><w:shd w:val="clear" w:fill="rgba(0,0,0,0)"/></w:rPr><w:t xml:space="preserve">June 30,</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Change</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14"/><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(in thousands, except for percentages)</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Income tax expense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(2,440</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(487</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(1,953</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401</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28100" w:type="dxa"/><w:gridCol w:w="7750" w:type="dxa"/><w:gridCol w:w="0" w:type="dxa"/><w:gridCol w:w="49950" w:type="dxa"/><w:gridCol w:w="0" w:type="dxa"/><w:gridCol w:w="7750" w:type="dxa"/><w:gridCol w:w="0" w:type="dxa"/><w:gridCol w:w="49450" w:type="dxa"/><w:gridCol w:w="0" w:type="dxa"/><w:gridCol w:w="7750" w:type="dxa"/><w:gridCol w:w="0" w:type="dxa"/><w:gridCol w:w="9250" w:type="dxa"/><w:gridCol w:w="0" w:type="dxa"/><w:gridCol w:w="7750" w:type="dxa"/><w:gridCol w:w="0" w:type="dxa"/><w:gridCol w:w="32400" w:type="dxa"/><w:gridCol w:w="0" w:type="dxa"/></w:tblGrid><w:tblPr><w:tblW w:w="0" w:type="pct"/><w:tblLayout w:type="autofit"/></w:tblPr><w:tr><w:trPr/><w:tc><w:tcPr><w:tcW w:w="28100" w:type="pct"/><w:noWrap/></w:tcPr><w:p><w:pPr/></w:p></w:tc><w:tc><w:tcPr><w:tcW w:w="7750" w:type="pct"/><w:noWrap/></w:tcPr><w:p><w:pPr/></w:p></w:tc><w:tc><w:tcPr><w:tcW w:w="0" w:type="pct"/><w:noWrap/></w:tcPr><w:p><w:pPr/></w:p></w:tc><w:tc><w:tcPr><w:tcW w:w="49950" w:type="pct"/><w:noWrap/></w:tcPr><w:p><w:pPr/></w:p></w:tc><w:tc><w:tcPr><w:tcW w:w="0" w:type="pct"/><w:noWrap/></w:tcPr><w:p><w:pPr/></w:p></w:tc><w:tc><w:tcPr><w:tcW w:w="7750" w:type="pct"/><w:noWrap/></w:tcPr><w:p><w:pPr/></w:p></w:tc><w:tc><w:tcPr><w:tcW w:w="0" w:type="pct"/><w:noWrap/></w:tcPr><w:p><w:pPr/></w:p></w:tc><w:tc><w:tcPr><w:tcW w:w="49450" w:type="pct"/><w:noWrap/></w:tcPr><w:p><w:pPr/></w:p></w:tc><w:tc><w:tcPr><w:tcW w:w="0" w:type="pct"/><w:noWrap/></w:tcPr><w:p><w:pPr/></w:p></w:tc><w:tc><w:tcPr><w:tcW w:w="7750" w:type="pct"/><w:noWrap/></w:tcPr><w:p><w:pPr/></w:p></w:tc><w:tc><w:tcPr><w:tcW w:w="0" w:type="pct"/><w:noWrap/></w:tcPr><w:p><w:pPr/></w:p></w:tc><w:tc><w:tcPr><w:tcW w:w="9250" w:type="pct"/><w:noWrap/></w:tcPr><w:p><w:pPr/></w:p></w:tc><w:tc><w:tcPr><w:tcW w:w="0" w:type="pct"/><w:noWrap/></w:tcPr><w:p><w:pPr/></w:p></w:tc><w:tc><w:tcPr><w:tcW w:w="7750" w:type="pct"/><w:noWrap/></w:tcPr><w:p><w:pPr/></w:p></w:tc><w:tc><w:tcPr><w:tcW w:w="0" w:type="pct"/><w:noWrap/></w:tcPr><w:p><w:pPr/></w:p></w:tc><w:tc><w:tcPr><w:tcW w:w="32400" w:type="pct"/><w:noWrap/></w:tcPr><w:p><w:pPr/></w:p></w:tc><w:tc><w:tcPr><w:tcW w:w="0" w:type="pct"/><w:noWrap/></w:tcPr><w:p><w:pP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Six Months Ended</w:t></w:r><w:br/><w:r><w:rPr><w:rFonts w:ascii="Times New Roman" w:hAnsi="Times New Roman" w:eastAsia="Times New Roman" w:cs="Times New Roman"/><w:color w:val="rgba(0,0,0,1)"/><w:sz w:val="16"/><w:szCs w:val="16"/><w:b w:val="1"/><w:bCs w:val="1"/><w:shd w:val="clear" w:fill="rgba(0,0,0,0)"/></w:rPr><w:t xml:space="preserve">June 30,</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Change</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14"/><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(in thousands, except for percentages)</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top"/><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Income tax expense</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(2,485</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(687</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(1,798</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2500" w:color="double"/></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262</w:t></w:r></w:p></w:tc><w:tc><w:tcPr><w:tcW w:w="0" w:type="pct"/><w:vAlign w:val="center"/><w:tcBorders><w:bottom w:val="single" w:sz="2500" w:color="double"/></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bl><w:p><w:pPr><w:jc w:val="start"/><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Income tax expense increased by $2.0 million, or 401%, to $2.4 million in the three months ended June 30, 2022 from $0.5 million in the three months ended June 30, 2021. Income tax expense increased by $1.8 million, or 262% to $2.5 million in the six months ended June 30, 2022 from $0.7 million in the six months ended June 30, 2021. The increase in the provision is attributed to the increase in the effective rate from 2.21% in the six months ended June 30, 2021 to 26.99% in the six months ended June 30, 2022 due to the release of the valuation allowance in the three months ended December 31, 2021.</w:t></w:r><w:r><w:rPr><w:rFonts w:ascii="Times New Roman" w:hAnsi="Times New Roman" w:eastAsia="Times New Roman" w:cs="Times New Roman"/><w:color w:val="rgba(0,0,0,1)"/><w:sz w:val="20"/><w:szCs w:val="20"/><w:b w:val="0"/><w:bCs w:val="0"/></w:rPr><w:t xml:space="preserve"> </w:t></w:r></w:p><w:p><w:pPr><w:jc w:val="center"/><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29</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shd w:val="clear" w:fill="rgba(0,0,0,0)"/></w:rPr><w:t xml:space="preserve">Liquidity and Capital Resources</w:t></w:r><w:r><w:rPr><w:rFonts w:ascii="Times New Roman" w:hAnsi="Times New Roman" w:eastAsia="Times New Roman" w:cs="Times New Roman"/><w:color w:val="rgba(0,0,0,1)"/><w:sz w:val="20"/><w:szCs w:val="20"/><w:b w:val="1"/><w:b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Since our inception, we have funded our operations and capital expenditures through cash flows from product sales, loans from affiliates and entities controlled by certain of our affiliates, third-party debt and proceeds from the sale of our capital stock. As of June 30, 2022, we had an accumulated deficit of $53.0 million and working capital of $143.3 million which included $112.3 million in cash and cash equivalents. We also have $125.0 million available for future revolving borrowings under our Revolving Facility (see Note “13. Long-Term Debt Obligations”). For the six months ended June 30, 2022, we reported $218.5 million in net revenue, $7.8 million in net income and $11.6 million of cash inflows from operating activities. We expect that our cash on hand and other components of working capital as of June 30, 2022, availability under the 2021 Credit Agreement, plus net cash flows from product sales, will be sufficient to fund our operating expenses, capital expenditure requirements and debt service payments for at least 12 months beyond the filing date of this quarterly report.</w:t></w:r><w:r><w:rPr><w:rFonts w:ascii="Times New Roman" w:hAnsi="Times New Roman" w:eastAsia="Times New Roman" w:cs="Times New Roman"/><w:color w:val="rgba(0,0,0,1)"/><w:sz w:val="20"/><w:szCs w:val="20"/><w:b w:val="0"/><w:bCs w:val="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We continue to closely monitor ongoing developments in connection with the COVID-19 pandemic, which may negatively affect our commercial prospects, cash position and access to capital in fiscal 2022 or beyond. We will continue to assess our cash and other sources of liquidity and, if circumstances warrant, we will make appropriate adjustments to our operating plan.</w:t></w:r><w:r><w:rPr><w:rFonts w:ascii="Times New Roman" w:hAnsi="Times New Roman" w:eastAsia="Times New Roman" w:cs="Times New Roman"/><w:color w:val="rgba(0,0,0,1)"/><w:sz w:val="20"/><w:szCs w:val="20"/><w:b w:val="0"/><w:bCs w:val="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Our primary uses of cash are working capital requirements, capital expenditure and debt service payments. Additionally, from time to time, we may use capital for acquisitions and other investing and financing activities. Working capital is used principally for our personnel as well as manufacturing costs related to the production of our products. Our working capital requirements vary from period to period depending on manufacturing volumes, the timing of shipments and the payment cycles of our customers and payers. Our capital expenditures consist primarily of building improvements, manufacturing equipment, and computer hardware and software.</w:t></w:r><w:r><w:rPr><w:rFonts w:ascii="Times New Roman" w:hAnsi="Times New Roman" w:eastAsia="Times New Roman" w:cs="Times New Roman"/><w:color w:val="rgba(0,0,0,1)"/><w:sz w:val="20"/><w:szCs w:val="20"/><w:b w:val="0"/><w:bCs w:val="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To the extent additional funds are necessary to meet our long-term liquidity needs as we continue to execute on our business strategy, we anticipate that they will be obtained through additional equity or debt financings, other strategic transactions or a combination of these potential sources of funds. There can be no assurance that we will be able to obtain additional funds on terms acceptable to us, on a timely basis or at all.</w:t></w:r><w:r><w:rPr><w:rFonts w:ascii="Times New Roman" w:hAnsi="Times New Roman" w:eastAsia="Times New Roman" w:cs="Times New Roman"/><w:color w:val="rgba(0,0,0,1)"/><w:sz w:val="20"/><w:szCs w:val="20"/><w:b w:val="0"/><w:bCs w:val="0"/></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i w:val="1"/><w:iCs w:val="1"/><w:shd w:val="clear" w:fill="rgba(0,0,0,0)"/></w:rPr><w:t xml:space="preserve">Cash Flows</w:t></w:r><w:r><w:rPr><w:rFonts w:ascii="Times New Roman" w:hAnsi="Times New Roman" w:eastAsia="Times New Roman" w:cs="Times New Roman"/><w:color w:val="rgba(0,0,0,1)"/><w:sz w:val="20"/><w:szCs w:val="20"/><w:b w:val="1"/><w:bCs w:val="1"/><w:i w:val="1"/><w:i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The following table summarizes our cash flows for each of the periods presented:</w:t></w:r><w:r><w:rPr><w:rFonts w:ascii="Times New Roman" w:hAnsi="Times New Roman" w:eastAsia="Times New Roman" w:cs="Times New Roman"/><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45750" w:type="dxa"/><w:gridCol w:w="23600" w:type="dxa"/><w:gridCol w:w="0" w:type="dxa"/><w:gridCol w:w="600" w:type="dxa"/><w:gridCol w:w="0" w:type="dxa"/><w:gridCol w:w="23600" w:type="dxa"/><w:gridCol w:w="0" w:type="dxa"/><w:gridCol w:w="1050" w:type="dxa"/><w:gridCol w:w="0" w:type="dxa"/></w:tblGrid><w:tblPr><w:tblW w:w="0" w:type="pct"/><w:tblLayout w:type="autofit"/></w:tblPr><w:tr><w:trPr/><w:tc><w:tcPr><w:tcW w:w="45750" w:type="pct"/><w:noWrap/></w:tcPr><w:p><w:pPr/></w:p></w:tc><w:tc><w:tcPr><w:tcW w:w="23600" w:type="pct"/><w:noWrap/></w:tcPr><w:p><w:pPr/></w:p></w:tc><w:tc><w:tcPr><w:tcW w:w="0" w:type="pct"/><w:noWrap/></w:tcPr><w:p><w:pPr/></w:p></w:tc><w:tc><w:tcPr><w:tcW w:w="600" w:type="pct"/><w:noWrap/></w:tcPr><w:p><w:pPr/></w:p></w:tc><w:tc><w:tcPr><w:tcW w:w="0" w:type="pct"/><w:noWrap/></w:tcPr><w:p><w:pPr/></w:p></w:tc><w:tc><w:tcPr><w:tcW w:w="23600" w:type="pct"/><w:noWrap/></w:tcPr><w:p><w:pPr/></w:p></w:tc><w:tc><w:tcPr><w:tcW w:w="0" w:type="pct"/><w:noWrap/></w:tcPr><w:p><w:pPr/></w:p></w:tc><w:tc><w:tcPr><w:tcW w:w="1050" w:type="pct"/><w:noWrap/></w:tcPr><w:p><w:pPr/></w:p></w:tc><w:tc><w:tcPr><w:tcW w:w="0" w:type="pct"/><w:noWrap/></w:tcPr><w:p><w:pP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Six Months Ended</w:t></w:r><w:br/><w:r><w:rPr><w:rFonts w:ascii="Times New Roman" w:hAnsi="Times New Roman" w:eastAsia="Times New Roman" w:cs="Times New Roman"/><w:color w:val="rgba(0,0,0,1)"/><w:sz w:val="16"/><w:szCs w:val="16"/><w:b w:val="1"/><w:bCs w:val="1"/><w:shd w:val="clear" w:fill="rgba(0,0,0,0)"/></w:rPr><w:t xml:space="preserve">June 30,</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2022</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tcBorders><w:bottom w:val="single" w:sz="5000" w:color="solid"/></w:tcBorders><w:shd w:val="clear" w:fill="rgba(0,0,0,0)"/><w:gridSpan w:val="2"/><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2021</w:t></w:r></w:p></w:tc><w:tc><w:tcPr><w:tcW w:w="0" w:type="pct"/><w:vAlign w:val="bottom"/><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gridSpan w:val="6"/><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(in thousands)</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Net cash provided by operating activities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11,606</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16,180</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r><w:tr><w:trPr><w:trHeight w:val="20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Net cash used in investing activities</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(12,840</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(9,290</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r><w:trPr><w:trHeight w:val="200" w:hRule="exact"/></w:trPr><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Net cash used in financing activities</w:t></w:r></w:p></w:tc><w:tc><w:tcPr><w:tcW w:w="0" w:type="pct"/><w:vAlign w:val="bottom"/><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(350</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sz w:val="20"/><w:szCs w:val="20"/><w:shd w:val="clear" w:fill="rgba(207,240,252,1)"/></w:rPr><w:t xml:space="preserve"> </w:t></w:r></w:p></w:tc><w:tc><w:tcPr><w:tcW w:w="0" w:type="pct"/><w:vAlign w:val="center"/><w:tcBorders><w:bottom w:val="single" w:sz="5000" w:color="solid"/></w:tcBorders><w:shd w:val="clear" w:fill="rgba(207,240,252,1)"/><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(1,389</w:t></w:r></w:p></w:tc><w:tc><w:tcPr><w:tcW w:w="0" w:type="pct"/><w:vAlign w:val="center"/><w:tcBorders><w:bottom w:val="single" w:sz="5000" w:color="solid"/></w:tcBorders><w:shd w:val="clear" w:fill="rgba(207,240,252,1)"/><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r><w:tr><w:trPr><w:trHeight w:val="200"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Net change in cash, cash equivalents, and restricted cash</w:t></w:r></w:p></w:tc><w:tc><w:tcPr><w:tcW w:w="0" w:type="pct"/><w:vAlign w:val="bottom"/><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(1,584</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shd w:val="clear" w:fill="rgba(0,0,0,0)"/><w:noWrap/></w:tcPr><w:p><w:pPr><w:jc w:val="center"/><w:ind w:left="0" w:right="0" w:firstLine="0" w:hanging="0"/><w:spacing w:before="0" w:after="0" w:line="252" w:lineRule="auto"/></w:pPr><w:r><w:rPr><w:rFonts w:ascii="Times New Roman" w:hAnsi="Times New Roman" w:eastAsia="Times New Roman" w:cs="Times New Roman"/><w:sz w:val="2"/><w:szCs w:val="2"/><w:shd w:val="clear" w:fill="rgba(0,0,0,0)"/></w:rPr><w:t xml:space="preserve"> </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w:t></w:r></w:p></w:tc><w:tc><w:tcPr><w:tcW w:w="0" w:type="pct"/><w:vAlign w:val="center"/><w:tcBorders><w:bottom w:val="single" w:sz="2500" w:color="double"/></w:tcBorders><w:shd w:val="clear" w:fill="rgba(0,0,0,0)"/><w:noWrap/></w:tcPr><w:p><w:pPr><w:jc w:val="end"/><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5,501</w:t></w:r></w:p></w:tc><w:tc><w:tcPr><w:tcW w:w="0" w:type="pct"/><w:vAlign w:val="center"/><w:tcBorders><w:bottom w:val="single" w:sz="2500" w:color="double"/></w:tcBorders><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color w:val="rgba(0,0,0,1)"/><w:sz w:val="20"/><w:szCs w:val="20"/><w:b w:val="0"/><w:bCs w:val="0"/><w:i w:val="1"/><w:iCs w:val="1"/><w:shd w:val="clear" w:fill="rgba(0,0,0,0)"/></w:rPr><w:t xml:space="preserve">Operating Activities</w:t></w:r><w:r><w:rPr><w:rFonts w:ascii="Times New Roman" w:hAnsi="Times New Roman" w:eastAsia="Times New Roman" w:cs="Times New Roman"/><w:color w:val="rgba(0,0,0,1)"/><w:sz w:val="20"/><w:szCs w:val="20"/><w:b w:val="0"/><w:bCs w:val="0"/><w:i w:val="1"/><w:i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During the six months ended June 30, 2022, net cash provided by operating activities was $11.6 million, resulting from our net income of $7.8 million and non-cash charges of $18.0 million, partially offset by net cash used in connection with changes in our operating assets and liabilities of $14.2 million. Net cash used in changes in our operating assets and liabilities included an increase in accounts receivable of $6.5 million, an increase in inventory of $3.4 million, an increase in prepaid expenses and other current assets of $1.8 million, a decrease in operating leases liabilities of $3.5 million, and a decrease in accrued expenses and other current liabilities of $1.7 million, partially offset by an increase in accounts payable of $2.7 million.</w:t></w:r><w:r><w:rPr><w:rFonts w:ascii="Times New Roman" w:hAnsi="Times New Roman" w:eastAsia="Times New Roman" w:cs="Times New Roman"/><w:color w:val="rgba(0,0,0,1)"/><w:sz w:val="20"/><w:szCs w:val="20"/><w:b w:val="0"/><w:bCs w:val="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During the six months ended June 30, 2021, net cash provided by operating activities was $16.2 million, resulting from our net income of $30.6 million and non-cash charges of $13.4 million, partially offset by net cash used in connection with changes in our operating assets and liabilities of $27.8 million. Net cash used in changes in our operating assets and liabilities included an increase in accounts receivable of $21.5 million, an increase in inventory of $5.0 million, an increase in prepaid expenses and other current assets of $1.6 million, and a decrease in operating leases and other liabilities of $3.1 million, partially offset by an increase in accounts payable, accrued expenses and other liabilities of $3.4 million.</w:t></w:r></w:p><w:p><w:pPr><w:jc w:val="start"/><w:ind w:left="0" w:right="0" w:firstLine="0" w:hanging="0"/><w:spacing w:before="12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color w:val="rgba(0,0,0,1)"/><w:sz w:val="20"/><w:szCs w:val="20"/><w:b w:val="0"/><w:bCs w:val="0"/><w:i w:val="1"/><w:iCs w:val="1"/><w:shd w:val="clear" w:fill="rgba(0,0,0,0)"/></w:rPr><w:t xml:space="preserve">Investing Activities</w:t></w:r><w:r><w:rPr><w:rFonts w:ascii="Times New Roman" w:hAnsi="Times New Roman" w:eastAsia="Times New Roman" w:cs="Times New Roman"/><w:color w:val="rgba(0,0,0,1)"/><w:sz w:val="20"/><w:szCs w:val="20"/><w:b w:val="0"/><w:bCs w:val="0"/><w:i w:val="1"/><w:i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During the six months ended June 30, 2022, we used $12.8 million of cash in investing activities solely consisting of capital expenditures.</w:t></w:r><w:r><w:rPr><w:rFonts w:ascii="Times New Roman" w:hAnsi="Times New Roman" w:eastAsia="Times New Roman" w:cs="Times New Roman"/><w:color w:val="rgba(0,0,0,1)"/><w:sz w:val="20"/><w:szCs w:val="20"/><w:b w:val="0"/><w:bCs w:val="0"/></w:rPr><w:t xml:space="preserve"> </w:t></w:r></w:p><w:p><w:pPr><w:jc w:val="center"/><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30</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During the six months ended June 30, 2021, we used $9.3 million of cash in investing activities solely consisting of capital expenditures.</w:t></w:r><w:r><w:rPr><w:rFonts w:ascii="Times New Roman" w:hAnsi="Times New Roman" w:eastAsia="Times New Roman" w:cs="Times New Roman"/><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color w:val="rgba(0,0,0,1)"/><w:sz w:val="20"/><w:szCs w:val="20"/><w:b w:val="0"/><w:bCs w:val="0"/><w:i w:val="1"/><w:iCs w:val="1"/><w:shd w:val="clear" w:fill="rgba(0,0,0,0)"/></w:rPr><w:t xml:space="preserve">Financing Activities</w:t></w:r><w:r><w:rPr><w:rFonts w:ascii="Times New Roman" w:hAnsi="Times New Roman" w:eastAsia="Times New Roman" w:cs="Times New Roman"/><w:color w:val="rgba(0,0,0,1)"/><w:sz w:val="20"/><w:szCs w:val="20"/><w:b w:val="0"/><w:bCs w:val="0"/><w:i w:val="1"/><w:i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During the six months ended June 30, 2022, net cash used in financing activities was $0.4 million. This consisted primarily of the payment of term loan and finance lease obligations of $1.1 million and the payment of $0.6 million related to the CPN deferred acquisition consideration, partially offset by the net receipts of $1.4 million in connection with the stock awards activities.</w:t></w:r><w:r><w:rPr><w:rFonts w:ascii="Times New Roman" w:hAnsi="Times New Roman" w:eastAsia="Times New Roman" w:cs="Times New Roman"/><w:color w:val="rgba(0,0,0,1)"/><w:sz w:val="20"/><w:szCs w:val="20"/><w:b w:val="0"/><w:bCs w:val="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During the six months ended June 30, 2021, net cash used in financing activities was $1.4 million. This consisted primarily of the payment of finance lease obligations of $1.4 million and the payment of $0.5 million related to the NuTech Medical deferred acquisition consideration, partially offset by the net receipts of $0.5 million in connection with the stock awards activities.</w:t></w:r><w:r><w:rPr><w:rFonts w:ascii="Times New Roman" w:hAnsi="Times New Roman" w:eastAsia="Times New Roman" w:cs="Times New Roman"/><w:color w:val="rgba(0,0,0,1)"/><w:sz w:val="20"/><w:szCs w:val="20"/><w:b w:val="0"/><w:bCs w:val="0"/></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i w:val="1"/><w:iCs w:val="1"/><w:shd w:val="clear" w:fill="rgba(0,0,0,0)"/></w:rPr><w:t xml:space="preserve">Indebtedness</w:t></w:r><w:r><w:rPr><w:rFonts w:ascii="Times New Roman" w:hAnsi="Times New Roman" w:eastAsia="Times New Roman" w:cs="Times New Roman"/><w:color w:val="rgba(0,0,0,1)"/><w:sz w:val="20"/><w:szCs w:val="20"/><w:b w:val="1"/><w:bCs w:val="1"/><w:i w:val="1"/><w:i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1"/><w:bCs w:val="1"/><w:i w:val="1"/><w:iCs w:val="1"/><w:shd w:val="clear" w:fill="rgba(0,0,0,0)"/></w:rPr><w:t xml:space="preserve">2021 Credit Agreement</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In August 2021, we and our subsidiaries entered into a credit agreement with SVB and several other lenders, which we refer to as the 2021 Credit Agreement. The 2021 Credit Agreement provides for a term loan facility not to exceed $75,000 (the “Term Loan Facility”) and a revolving credit facility not to exceed $125,000 (the “Revolving Facility”).</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Advances made under the 2021 Credit Agreement may be either Eurodollar Loans or ABR Loans, at our option. For Eurodollar Loans, the interest rate is a per annum interest rate equal to LIBOR plus an Applicable Margin between 2.00% to 3.25% based on the Total Net Leverage Ratio. For ABR Loans, the interest rate is equal to (1) the highest of (a) the Wall Street Journal Prime Rate, (b) the Federal Funds Rate plus 0.50% and (c) the LIBOR rate plus 1.0%, </w:t></w:r><w:r><w:rPr><w:rFonts w:ascii="Times New Roman" w:hAnsi="Times New Roman" w:eastAsia="Times New Roman" w:cs="Times New Roman"/><w:color w:val="rgba(0,0,0,1)"/><w:sz w:val="20"/><w:szCs w:val="20"/><w:b w:val="0"/><w:bCs w:val="0"/><w:i w:val="1"/><w:iCs w:val="1"/><w:shd w:val="clear" w:fill="rgba(0,0,0,0)"/></w:rPr><w:t xml:space="preserve">plus</w:t></w:r><w:r><w:rPr><w:rFonts w:ascii="Times New Roman" w:hAnsi="Times New Roman" w:eastAsia="Times New Roman" w:cs="Times New Roman"/><w:color w:val="rgba(0,0,0,1)"/><w:sz w:val="20"/><w:szCs w:val="20"/><w:b w:val="0"/><w:bCs w:val="0"/><w:shd w:val="clear" w:fill="rgba(0,0,0,0)"/></w:rPr><w:t xml:space="preserve"> (2) an Applicable Margin between 1.00% to 2.25% based on the Total Net Leverage Ratio.</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The 2021 Credit Agreement requires us to make consecutive quarterly installment payments equal to the following: (a) from September 30, 2021 through and including June 30, 2022, $469; (b) from September 30, 2022 through and including June 30, 2023, $938; (c) from September 30, 2023 through and including June 30, 2025, $1,406 and (d) from September 30, 2025 and the last day of each quarter thereafter until August 6, 2026 (the “Term Loan Maturity Date”), $1,875. We may prepay the Term Loan Facility, provided that any Term Loans prepaid prior to August 6, 2022, must be accompanied by a prepayment premium equal to 1.00% of the aggregate amount of Term Loans prepaid. Once repaid, amounts borrowed under the Term Loan Facility may not be re-borrowed.</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We must pay in arrears, on the first day of each quarter prior to August 6, 2026 (the “Revolving Termination Date”) and on the Revolving Termination Date, a fee for our non-use of available funds (the “Commitment Fee”). The Commitment Fee rate is between 0.25% to 0.45% based on the Total Net Leverage Ratio. We may elect to reduce or terminate the Revolving Facility in its entirety at any time by repaying all outstanding principal, unpaid accrued interest and, with respect to any such reduction or termination of the Revolving Commitments made prior to August 6, 2022, 1.00% of the aggregate amount of the Revolving Commitments so reduced or terminated.</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Under the 2021 Credit Agreement, we are required to comply with certain financial covenants including the Consolidated Fixed Charge Coverage Ratio and Consolidated Total Net Leverage Ratio, tested quarterly. In addition, we are also required to make representations and warranties and comply with certain non-financial covenants that are customary in loan agreements of this type, including restrictions on the payment of dividends, repurchase of stock, incurrence of indebtedness, dispositions and acquisitions.</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As of June 30, 2022, we were in compliance with the covenants under the 2021 Credit Agreement. We had outstanding borrowings under the Revolving Facility and Term Loan Facility of the 2021 Credit Agreement of $0.0 million and $73.1 million, respectively.</w:t></w:r><w:r><w:rPr><w:rFonts w:ascii="Times New Roman" w:hAnsi="Times New Roman" w:eastAsia="Times New Roman" w:cs="Times New Roman"/><w:color w:val="rgba(0,0,0,1)"/><w:sz w:val="20"/><w:szCs w:val="20"/><w:b w:val="0"/><w:bCs w:val="0"/></w:rPr><w:t xml:space="preserve"> </w:t></w:r></w:p><w:p><w:pPr><w:jc w:val="center"/><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31</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i w:val="1"/><w:iCs w:val="1"/><w:shd w:val="clear" w:fill="rgba(0,0,0,0)"/></w:rPr><w:t xml:space="preserve">2019 Credit Agreement</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In March 2019, we, our subsidiaries and SVB, and the several other lenders thereto entered into a credit agreement, as amended (the “2019 Credit Agreement”), providing for a term loan facility of $40,000 and a revolving credit facility of up to $60,000. Both facilities were set to mature in 2024. The interest rate for the term loan facility was a floating per annum interest rate equal to the greater of 3.75% above the Wall Street Journal Prime Rate and 9.25%. The interest rate for advances under the revolving facility was a floating per annum interest rate equal to the greater of the Wall Street Journal Prime Rate and 5.50%. If we elected to prepay the loan or terminate the facilities, we were required to pay a certain percentage of the outstanding principal as a prepayment fee. A final payment fee (the “Final Payment”) of 6.5% multiplied by the original aggregate principal amount of term loan facility was due upon the earlier to occur, the maturity date of the term loan or prepayment of all outstanding principal.</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In August 2021, upon entering into the 2021 Credit Agreement, we paid an aggregate amount of $70.6 million due under the 2019 Credit Agreement, including unpaid principal, accrued interest, the Final Payment and a prepayment fee, with proceeds from the 2021 Credit Agreement, and the 2019 Credit Agreement was terminated. Upon termination of the 2019 Credit Agreement, the Company recognized $1.9 million as loss on the extinguishment of the loan for the year ended December 31, 2021.</w:t></w:r><w:r><w:rPr><w:rFonts w:ascii="Times New Roman" w:hAnsi="Times New Roman" w:eastAsia="Times New Roman" w:cs="Times New Roman"/><w:color w:val="rgba(0,0,0,1)"/><w:sz w:val="20"/><w:szCs w:val="20"/><w:b w:val="0"/><w:bCs w:val="0"/></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shd w:val="clear" w:fill="rgba(0,0,0,0)"/></w:rPr><w:t xml:space="preserve">Critical Accounting Policies and Significant Judgments and Estimates</w:t></w:r><w:r><w:rPr><w:rFonts w:ascii="Times New Roman" w:hAnsi="Times New Roman" w:eastAsia="Times New Roman" w:cs="Times New Roman"/><w:color w:val="rgba(0,0,0,1)"/><w:sz w:val="20"/><w:szCs w:val="20"/><w:b w:val="1"/><w:b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Our unaudited consolidated financial statements have been prepared in accordance with GAAP. The preparation of our unaudited consolidated financial statements requires us to make estimates, assumptions and judgments that affect the reported amounts of assets, liabilities, and the disclosure at the date of the unaudited consolidated financial statements, as well as revenue and expenses recorded during the reporting periods. Management bases its estimates, assumptions and judgments on historical experience and on various other factors that it believes to be reasonable under the circumstances. Different assumptions and judgments would change the estimates used in the preparation of our unaudited consolidated financial statements, which, in turn, could materially change our results from those reported. Management evaluates its estimates, assumptions and judgments on an ongoing basis. Historically, our critical accounting estimates have not differed materially from actual results. However, if our assumptions change, we may need to revise our estimates, or take other corrective actions, either of which may also have a material adverse effect on our consolidated statements of operations, liquidity and financial condition. See also our Annual Report on Form 10-K for the fiscal year ended December 31, 2021 for information about these accounting policies as well as a description of our other significant accounting policies.</w:t></w:r><w:r><w:rPr><w:rFonts w:ascii="Times New Roman" w:hAnsi="Times New Roman" w:eastAsia="Times New Roman" w:cs="Times New Roman"/><w:color w:val="rgba(0,0,0,1)"/><w:sz w:val="20"/><w:szCs w:val="20"/><w:b w:val="0"/><w:bCs w:val="0"/></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shd w:val="clear" w:fill="rgba(0,0,0,0)"/></w:rPr><w:t xml:space="preserve">Off-Balance Sheet Arrangements</w:t></w:r><w:r><w:rPr><w:rFonts w:ascii="Times New Roman" w:hAnsi="Times New Roman" w:eastAsia="Times New Roman" w:cs="Times New Roman"/><w:color w:val="rgba(0,0,0,1)"/><w:sz w:val="20"/><w:szCs w:val="20"/><w:b w:val="1"/><w:b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We did not have, during the periods presented, and we do not currently have, any off-balance sheet arrangements, as defined in the rules and regulations of the SEC.</w:t></w:r><w:r><w:rPr><w:rFonts w:ascii="Times New Roman" w:hAnsi="Times New Roman" w:eastAsia="Times New Roman" w:cs="Times New Roman"/><w:color w:val="rgba(0,0,0,1)"/><w:sz w:val="20"/><w:szCs w:val="20"/><w:b w:val="0"/><w:bCs w:val="0"/></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shd w:val="clear" w:fill="rgba(0,0,0,0)"/></w:rPr><w:t xml:space="preserve">Recently Issued Accounting Pronouncements</w:t></w:r><w:r><w:rPr><w:rFonts w:ascii="Times New Roman" w:hAnsi="Times New Roman" w:eastAsia="Times New Roman" w:cs="Times New Roman"/><w:color w:val="rgba(0,0,0,1)"/><w:sz w:val="20"/><w:szCs w:val="20"/><w:b w:val="1"/><w:b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We have reviewed all recently issued standards as disclosed in Note “2. Summary of Significant Accounting Policies” to our consolidated financial statements included in this Report on Form 10-Q.</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shd w:val="clear" w:fill="rgba(0,0,0,0)"/></w:rPr><w:t xml:space="preserve">Item 3. Quantitative and Qualitati</w:t></w:r><w:r><w:rPr><w:rFonts w:ascii="Times New Roman" w:hAnsi="Times New Roman" w:eastAsia="Times New Roman" w:cs="Times New Roman"/><w:color w:val="rgba(0,0,0,1)"/><w:sz w:val="20"/><w:szCs w:val="20"/><w:b w:val="1"/><w:bCs w:val="1"/><w:shd w:val="clear" w:fill="rgba(0,0,0,0)"/></w:rPr><w:t xml:space="preserve">ve Disclosures about Market Risk.</w:t></w:r><w:r><w:rPr><w:rFonts w:ascii="Times New Roman" w:hAnsi="Times New Roman" w:eastAsia="Times New Roman" w:cs="Times New Roman"/><w:color w:val="rgba(0,0,0,1)"/><w:sz w:val="20"/><w:szCs w:val="20"/><w:b w:val="1"/><w:b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We are exposed to various market risks, including fluctuations in interest rates and variability in currency exchange rates. We have established policies, procedures and internal processes governing our management of market risk and the use of financial instruments to manage our exposure to such risk.</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i w:val="1"/><w:iCs w:val="1"/><w:shd w:val="clear" w:fill="rgba(0,0,0,0)"/></w:rPr><w:t xml:space="preserve">Interest Rate Risk</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As of June 30, 2022, we had $73.1 million in borrowings outstanding under our term loan facility and no borrowings outstanding under our revolving credit facility, respectively. Borrowings under the term loan facility and revolving credit facility bear interest at variable rates. Based on the principal amounts outstanding as of June 30, 2022, an immediate 10% change in the interest rate would not have a material impact on our debt related obligations, financial position or results of operations.</w:t></w:r></w:p><w:p><w:pPr><w:jc w:val="center"/><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32</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i w:val="1"/><w:iCs w:val="1"/><w:shd w:val="clear" w:fill="rgba(0,0,0,0)"/></w:rPr><w:t xml:space="preserve">Foreign Currency and Market Risk</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The majority of our employees and our major operations are currently located in the United States. The functional currency of our foreign subsidiary in Switzerland is the U.S. dollar. We have, in the normal course of business, engaged in contracts with contractors or other vendors in a currency other than the U.S. dollar. To date, we have had minimal exposure to fluctuations in foreign currency exchange rates as the time period from the date that transactions are initiated and the date of payment or receipt of payment is generally of short duration. Accordingly, we believe we do not have a material exposure to foreign currency risk.</w:t></w:r></w:p><w:p><w:pPr><w:jc w:val="start"/><w:ind w:left="0" w:right="0" w:firstLine="0" w:hanging="0"/><w:spacing w:before="360" w:after="0" w:line="248.39999999999998" w:lineRule="auto"/></w:pPr><w:r><w:rPr><w:rFonts w:ascii="Times New Roman" w:hAnsi="Times New Roman" w:eastAsia="Times New Roman" w:cs="Times New Roman"/><w:color w:val="rgba(0,0,0,1)"/><w:sz w:val="20"/><w:szCs w:val="20"/><w:b w:val="1"/><w:bCs w:val="1"/><w:shd w:val="clear" w:fill="rgba(0,0,0,0)"/></w:rPr><w:t xml:space="preserve">Item 4. Controls</w:t></w:r><w:r><w:rPr><w:rFonts w:ascii="Times New Roman" w:hAnsi="Times New Roman" w:eastAsia="Times New Roman" w:cs="Times New Roman"/><w:color w:val="rgba(0,0,0,1)"/><w:sz w:val="20"/><w:szCs w:val="20"/><w:b w:val="1"/><w:bCs w:val="1"/><w:shd w:val="clear" w:fill="rgba(0,0,0,0)"/></w:rPr><w:t xml:space="preserve"> and Procedures</w:t></w:r><w:r><w:rPr><w:rFonts w:ascii="Times New Roman" w:hAnsi="Times New Roman" w:eastAsia="Times New Roman" w:cs="Times New Roman"/><w:color w:val="rgba(0,0,0,1)"/><w:sz w:val="20"/><w:szCs w:val="20"/><w:b w:val="1"/><w:bCs w:val="1"/></w:rPr><w:t xml:space="preserve"> </w:t></w:r></w:p><w:p><w:pPr><w:jc w:val="start"/><w:ind w:left="0" w:right="0" w:firstLine="0" w:hanging="0"/><w:spacing w:before="120" w:after="0" w:line="248.39999999999998" w:lineRule="auto"/></w:pPr><w:r><w:rPr><w:rFonts w:ascii="Times New Roman" w:hAnsi="Times New Roman" w:eastAsia="Times New Roman" w:cs="Times New Roman"/><w:color w:val="rgba(0,0,0,1)"/><w:sz w:val="20"/><w:szCs w:val="20"/><w:b w:val="1"/><w:bCs w:val="1"/><w:shd w:val="clear" w:fill="rgba(0,0,0,0)"/></w:rPr><w:t xml:space="preserve">Evaluation of Disclosure Controls and Procedures</w:t></w:r><w:r><w:rPr><w:rFonts w:ascii="Times New Roman" w:hAnsi="Times New Roman" w:eastAsia="Times New Roman" w:cs="Times New Roman"/><w:color w:val="rgba(0,0,0,1)"/><w:sz w:val="20"/><w:szCs w:val="20"/><w:b w:val="1"/><w:bCs w:val="1"/></w:rPr><w:t xml:space="preserve"> </w:t></w:r></w:p><w:p><w:pPr><w:jc w:val="start"/><w:ind w:left="0" w:right="0" w:firstLine="0" w:hanging="0"/><w:spacing w:before="120" w:after="0" w:line="248.39999999999998" w:lineRule="auto"/></w:pPr><w:r><w:rPr><w:rFonts w:ascii="Times New Roman" w:hAnsi="Times New Roman" w:eastAsia="Times New Roman" w:cs="Times New Roman"/><w:color w:val="rgba(0,0,0,1)"/><w:sz w:val="20"/><w:szCs w:val="20"/><w:b w:val="1"/><w:bCs w:val="1"/><w:i w:val="1"/><w:iCs w:val="1"/><w:shd w:val="clear" w:fill="rgba(0,0,0,0)"/></w:rPr><w:t xml:space="preserve">Material Weaknesses on Internal Control over Financial Reporting</w:t></w:r><w:r><w:rPr><w:rFonts w:ascii="Times New Roman" w:hAnsi="Times New Roman" w:eastAsia="Times New Roman" w:cs="Times New Roman"/><w:color w:val="rgba(0,0,0,1)"/><w:sz w:val="20"/><w:szCs w:val="20"/><w:b w:val="1"/><w:bCs w:val="1"/><w:i w:val="1"/><w:i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The Company’s management, with the participation of its principal executive officer and principal financial officer, evaluated the effectiveness of its disclosure controls and procedures as of June 30, 2022. The term “disclosure controls and procedures,” as defined in Rules 13a-15(e) and 15d-15(e) under the Exchange Act, means controls and other procedures of a company that are designed to ensure that information required to be disclosed by a company in the reports that it files or submits under the Exchange Act is recorded, processed, summarized and reported, within the time periods specified in the rules and forms promulgated by the SEC. Disclosure controls and procedures include, without limitation, controls and procedures designed to ensure that information required to be disclosed by a company in the reports that it files or submits under the Exchange Act is accumulated and communicated to the company’s management, including its principal executive and principal financial officers, as appropriate to allow timely decisions regarding required disclosure. Management recognizes that any controls and procedures, no matter how well designed and operated, can provide only reasonable assurance of achieving their objectives and management necessarily applies its judgment in evaluating the cost-benefit relationship of possible controls and procedures.</w:t></w:r><w:r><w:rPr><w:rFonts w:ascii="Times New Roman" w:hAnsi="Times New Roman" w:eastAsia="Times New Roman" w:cs="Times New Roman"/><w:color w:val="rgba(0,0,0,1)"/><w:sz w:val="20"/><w:szCs w:val="20"/><w:b w:val="0"/><w:bCs w:val="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Because of inherent limitations, internal control over financial reporting may not prevent or detect misstatements. Also, projections of any evaluation of effectiveness to future periods are subject to the risk that controls may become inadequate because of changes in conditions or that the degree of compliance with the policies or procedures may deteriorate. Accordingly, even effective internal control over financial reporting can only provide reasonable assurance of achieving their control objectives.</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color w:val="rgba(0,0,0,1)"/><w:sz w:val="20"/><w:szCs w:val="20"/><w:b w:val="0"/><w:bCs w:val="0"/><w:shd w:val="clear" w:fill="rgba(0,0,0,0)"/></w:rPr><w:t xml:space="preserve">Management assessed the effectiveness of the Company’s internal control over financial reporting based on the criteria established in the SEC guidance on conducting such assessments as of the end of the period covered by this report. Management conducted the assessment based on certain criteria established in Internal Control— Integrated Framework issued by the Committee of Sponsoring Organizations of the Treadway Commission in 2013. As a result of this assessment, management concluded that, as of June 30, 2022, our internal control over financial reporting was not effective based on those criteria.</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color w:val="rgba(0,0,0,1)"/><w:sz w:val="20"/><w:szCs w:val="20"/><w:b w:val="0"/><w:bCs w:val="0"/><w:shd w:val="clear" w:fill="rgba(0,0,0,0)"/></w:rPr><w:t xml:space="preserve">As disclosed in the Company’s Annual Report for the fiscal year ended December 31, 2021, our management team identified the following material weakness in our internal control over financial reporting: we did not design and maintain formal accounting, business operations, and information technology policies, procedures and controls to achieve complete, accurate and timely financial accounting, reporting and disclosures, including (i) formalized policies and procedures for reviews over account reconciliations, journal entries, and other accounting analyses, memos and procedures to ensure completeness and accuracy of information used in these review controls and (ii) controls to support the objectives of proper segregation of the initiation of transactions, the recording of transactions, and the custody of assets.</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Although management has made significant progress in remediating this material weakness, management concluded that the material weakness described above continued to exist as of June 30, 2022.</w:t></w:r><w:r><w:rPr><w:rFonts w:ascii="Times New Roman" w:hAnsi="Times New Roman" w:eastAsia="Times New Roman" w:cs="Times New Roman"/><w:color w:val="rgba(0,0,0,1)"/><w:sz w:val="20"/><w:szCs w:val="20"/><w:b w:val="0"/><w:bCs w:val="0"/></w:rPr><w:t xml:space="preserve">  </w:t></w:r></w:p><w:p><w:pPr><w:jc w:val="start"/><w:ind w:left="0" w:right="0" w:firstLine="0" w:hanging="0"/><w:spacing w:before="360" w:after="0" w:line="248.39999999999998" w:lineRule="auto"/></w:pPr><w:r><w:rPr><w:rFonts w:ascii="Times New Roman" w:hAnsi="Times New Roman" w:eastAsia="Times New Roman" w:cs="Times New Roman"/><w:color w:val="rgba(0,0,0,1)"/><w:sz w:val="20"/><w:szCs w:val="20"/><w:b w:val="1"/><w:bCs w:val="1"/><w:i w:val="1"/><w:iCs w:val="1"/><w:shd w:val="clear" w:fill="rgba(0,0,0,0)"/></w:rPr><w:t xml:space="preserve">Plans for Remediation of Material Weakness</w:t></w:r><w:r><w:rPr><w:rFonts w:ascii="Times New Roman" w:hAnsi="Times New Roman" w:eastAsia="Times New Roman" w:cs="Times New Roman"/><w:color w:val="rgba(0,0,0,1)"/><w:sz w:val="20"/><w:szCs w:val="20"/><w:b w:val="1"/><w:bCs w:val="1"/><w:i w:val="1"/><w:iCs w:val="1"/></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color w:val="rgba(0,0,0,1)"/><w:sz w:val="20"/><w:szCs w:val="20"/><w:b w:val="0"/><w:bCs w:val="0"/><w:shd w:val="clear" w:fill="rgba(0,0,0,0)"/></w:rPr><w:t xml:space="preserve">Management has taken actions to remediate the deficiencies in its internal controls over financial reporting and implemented additional processes and controls designed to address the underlying causes associated with the above-mentioned material weakness. Management is committed to finalizing the remediation of the material weakness. Management’s internal control remediation efforts include the following:</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pPr><w:r><w:rPr><w:rFonts w:ascii="Times New Roman" w:hAnsi="Times New Roman" w:eastAsia="Times New Roman" w:cs="Times New Roman"/><w:color w:val="rgba(0,0,0,1)"/><w:sz w:val="20"/><w:szCs w:val="20"/><w:b w:val="0"/><w:bCs w:val="0"/><w:shd w:val="clear" w:fill="rgba(0,0,0,0)"/></w:rPr><w:t xml:space="preserve">•</w:t></w:r></w:p><w:p><w:pPr><w:jc w:val="start"/></w:pPr><w:r><w:rPr><w:rFonts w:ascii="Times New Roman" w:hAnsi="Times New Roman" w:eastAsia="Times New Roman" w:cs="Times New Roman"/><w:color w:val="rgba(0,0,0,1)"/><w:sz w:val="20"/><w:szCs w:val="20"/><w:b w:val="0"/><w:bCs w:val="0"/><w:shd w:val="clear" w:fill="rgba(0,0,0,0)"/></w:rPr><w:t xml:space="preserve">We are planning the implementation of a new company-wide enterprise resource planning, or ERP, system to provide additional systematic controls and segregation of duties for our accounting processes. We anticipate that the ERP system will go live in 2023. </w:t></w:r></w:p><w:p><w:pPr><w:jc w:val="start"/></w:pPr><w:r><w:rPr><w:rFonts w:ascii="Times New Roman" w:hAnsi="Times New Roman" w:eastAsia="Times New Roman" w:cs="Times New Roman"/><w:color w:val="rgba(0,0,0,1)"/><w:sz w:val="20"/><w:szCs w:val="20"/><w:b w:val="0"/><w:bCs w:val="0"/><w:shd w:val="clear" w:fill="rgba(0,0,0,0)"/></w:rPr><w:t xml:space="preserve">•</w:t></w:r></w:p><w:p><w:pPr><w:jc w:val="start"/></w:pPr><w:r><w:rPr><w:rFonts w:ascii="Times New Roman" w:hAnsi="Times New Roman" w:eastAsia="Times New Roman" w:cs="Times New Roman"/><w:color w:val="rgba(0,0,0,1)"/><w:sz w:val="20"/><w:szCs w:val="20"/><w:b w:val="0"/><w:bCs w:val="0"/><w:shd w:val="clear" w:fill="rgba(0,0,0,0)"/></w:rPr><w:t xml:space="preserve">We have continued to train and cross train our employees on their internal control responsibilities and how to best support the Company if personnel turnover issues within their departments occur. We have also supplemented our internal resources with third-party resources, where necessary. </w:t></w:r></w:p><w:p><w:pPr><w:jc w:val="center"/><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33</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pPr><w:r><w:rPr><w:rFonts w:ascii="Times New Roman" w:hAnsi="Times New Roman" w:eastAsia="Times New Roman" w:cs="Times New Roman"/><w:color w:val="rgba(0,0,0,1)"/><w:sz w:val="20"/><w:szCs w:val="20"/><w:b w:val="0"/><w:bCs w:val="0"/><w:shd w:val="clear" w:fill="rgba(0,0,0,0)"/></w:rPr><w:t xml:space="preserve">•</w:t></w:r></w:p><w:p><w:pPr><w:jc w:val="start"/></w:pPr><w:r><w:rPr><w:rFonts w:ascii="Times New Roman" w:hAnsi="Times New Roman" w:eastAsia="Times New Roman" w:cs="Times New Roman"/><w:color w:val="rgba(0,0,0,1)"/><w:sz w:val="20"/><w:szCs w:val="20"/><w:b w:val="0"/><w:bCs w:val="0"/><w:shd w:val="clear" w:fill="rgba(0,0,0,0)"/></w:rPr><w:t xml:space="preserve">We have continued to engage an outside firm to assist management with performing control operating effectiveness testing throughout the year.</w:t></w:r></w:p><w:p><w:pPr><w:jc w:val="start"/></w:pPr><w:r><w:rPr><w:rFonts w:ascii="Times New Roman" w:hAnsi="Times New Roman" w:eastAsia="Times New Roman" w:cs="Times New Roman"/><w:color w:val="rgba(0,0,0,1)"/><w:sz w:val="20"/><w:szCs w:val="20"/><w:b w:val="0"/><w:bCs w:val="0"/><w:shd w:val="clear" w:fill="rgba(0,0,0,0)"/></w:rPr><w:t xml:space="preserve">•</w:t></w:r></w:p><w:p><w:pPr><w:jc w:val="start"/></w:pPr><w:r><w:rPr><w:rFonts w:ascii="Times New Roman" w:hAnsi="Times New Roman" w:eastAsia="Times New Roman" w:cs="Times New Roman"/><w:color w:val="rgba(0,0,0,1)"/><w:sz w:val="20"/><w:szCs w:val="20"/><w:b w:val="0"/><w:bCs w:val="0"/><w:shd w:val="clear" w:fill="rgba(0,0,0,0)"/></w:rPr><w:t xml:space="preserve">We regularly reported the results of control testing to the key stakeholders across the organization, including the audit committee, on testing progress and defined corrective actions, and we monitored and reported on the results of control remediation. Through these actions, we have continued to strengthen our internal policies, processes, and reviews.</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color w:val="rgba(0,0,0,1)"/><w:sz w:val="20"/><w:szCs w:val="20"/><w:b w:val="0"/><w:bCs w:val="0"/><w:shd w:val="clear" w:fill="rgba(0,0,0,0)"/></w:rPr><w:t xml:space="preserve">As management continues to evaluate and work to improve our internal control over financial reporting, management may determine it is necessary to take additional measures to address the material weakness. However, we believe the above actions will be effective in remediating the material weaknesses and we will continue to devote significant time and attention to these remediation efforts. Until the controls have been operating for a sufficient period of time and management has concluded, through testing, that these controls are executed consistently and operating effectively, the material weakness described above will continue to exist.</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shd w:val="clear" w:fill="rgba(0,0,0,0)"/></w:rPr><w:t xml:space="preserve">Changes in Internal Control Over Financial Reporting</w:t></w:r><w:r><w:rPr><w:rFonts w:ascii="Times New Roman" w:hAnsi="Times New Roman" w:eastAsia="Times New Roman" w:cs="Times New Roman"/><w:color w:val="rgba(0,0,0,1)"/><w:sz w:val="20"/><w:szCs w:val="20"/><w:b w:val="1"/><w:b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There have been no changes in our internal control over financial reporting that occurred during the quarter ended June 30, 2022 that have materially affected, or are reasonably likely to materially affect, our internal control over financial reporting other than those described above related to remediation efforts. However, as the implementation of the new ERP system continues, we will change our processes and procedures, which in turn, could result in changes to our internal control over financial reporting. As such changes occur, we will evaluate quarterly whether such changes materially affect our internal control over financial reporting.</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shd w:val="clear" w:fill="rgba(0,0,0,0)"/></w:rPr><w:t xml:space="preserve">PART II – OTHER</w:t></w:r><w:r><w:rPr><w:rFonts w:ascii="Times New Roman" w:hAnsi="Times New Roman" w:eastAsia="Times New Roman" w:cs="Times New Roman"/><w:color w:val="rgba(0,0,0,1)"/><w:sz w:val="20"/><w:szCs w:val="20"/><w:b w:val="1"/><w:bCs w:val="1"/><w:shd w:val="clear" w:fill="rgba(0,0,0,0)"/></w:rPr><w:t xml:space="preserve"> INFORMATION</w:t></w:r><w:r><w:rPr><w:rFonts w:ascii="Times New Roman" w:hAnsi="Times New Roman" w:eastAsia="Times New Roman" w:cs="Times New Roman"/><w:color w:val="rgba(0,0,0,1)"/><w:sz w:val="20"/><w:szCs w:val="20"/><w:b w:val="1"/><w:b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1"/><w:bCs w:val="1"/><w:shd w:val="clear" w:fill="rgba(0,0,0,0)"/></w:rPr><w:t xml:space="preserve">Item 1. Legal </w:t></w:r><w:r><w:rPr><w:rFonts w:ascii="Times New Roman" w:hAnsi="Times New Roman" w:eastAsia="Times New Roman" w:cs="Times New Roman"/><w:color w:val="rgba(0,0,0,1)"/><w:sz w:val="20"/><w:szCs w:val="20"/><w:b w:val="1"/><w:bCs w:val="1"/><w:shd w:val="clear" w:fill="rgba(0,0,0,0)"/></w:rPr><w:t xml:space="preserve">Proceedings</w:t></w:r><w:r><w:rPr><w:rFonts w:ascii="Times New Roman" w:hAnsi="Times New Roman" w:eastAsia="Times New Roman" w:cs="Times New Roman"/><w:color w:val="rgba(0,0,0,1)"/><w:sz w:val="20"/><w:szCs w:val="20"/><w:b w:val="1"/><w:b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We are not a party to any material legal proceedings. From time to time, we may become involved in litigation or other legal proceedings relating to claims arising from the ordinary course of business. These matters may include intellectual property, employment and other general claims. With respect to our outstanding legal matters, based on our current knowledge, we believe that the amount or range of reasonably possible loss will not, either individually or in the aggregate, have a material adverse effect on our business, consolidated financial position, results of operations, or cash flows. However, the outcome of such legal matters is inherently unpredictable and subject to significant uncertainties.</w:t></w:r><w:r><w:rPr><w:rFonts w:ascii="Times New Roman" w:hAnsi="Times New Roman" w:eastAsia="Times New Roman" w:cs="Times New Roman"/><w:color w:val="rgba(0,0,0,1)"/><w:sz w:val="20"/><w:szCs w:val="20"/><w:b w:val="0"/><w:bCs w:val="0"/></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shd w:val="clear" w:fill="rgba(0,0,0,0)"/></w:rPr><w:t xml:space="preserve">Item 1A. Ri</w:t></w:r><w:r><w:rPr><w:rFonts w:ascii="Times New Roman" w:hAnsi="Times New Roman" w:eastAsia="Times New Roman" w:cs="Times New Roman"/><w:color w:val="rgba(0,0,0,1)"/><w:sz w:val="20"/><w:szCs w:val="20"/><w:b w:val="1"/><w:bCs w:val="1"/><w:shd w:val="clear" w:fill="rgba(0,0,0,0)"/></w:rPr><w:t xml:space="preserve">sk Factors</w:t></w:r><w:r><w:rPr><w:rFonts w:ascii="Times New Roman" w:hAnsi="Times New Roman" w:eastAsia="Times New Roman" w:cs="Times New Roman"/><w:color w:val="rgba(0,0,0,1)"/><w:sz w:val="20"/><w:szCs w:val="20"/><w:b w:val="1"/><w:b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Investing in our common stock involves a high degree of risk. Our Annual Report on Form 10-K for the year ended December 31, 2021, as amended, includes a detailed discussion of our risk factors under the heading “Part I, Item 1A—Risk Factors.” There have been no material changes from such risk factors during the quarter ended June 30, 2022. You should consider carefully the risk factors discussed in our Annual Report on Form 10-K for the year ended December 31, 2021, and all other information contained in or incorporated by reference in this Quarterly Report on Form 10-Q before making an investment decision. If any of the risks discussed in the Annual Report on Form 10-K for the year ended December 31, 2021 or herein actually occur, they may materially harm our business, financial condition, operating results, cash flows or growth prospects. As a result, the market price of our common stock could decline, and you could lose all or part of your investment. Additional risks and uncertainties that are not yet identified or that we think are immaterial may also materially harm our business, financial condition, operating results, cash flows or growth prospects and could result in a complete loss of your investment.</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shd w:val="clear" w:fill="rgba(0,0,0,0)"/></w:rPr><w:t xml:space="preserve">Item 2. Unregistered Sales of Equit</w:t></w:r><w:r><w:rPr><w:rFonts w:ascii="Times New Roman" w:hAnsi="Times New Roman" w:eastAsia="Times New Roman" w:cs="Times New Roman"/><w:color w:val="rgba(0,0,0,1)"/><w:sz w:val="20"/><w:szCs w:val="20"/><w:b w:val="1"/><w:bCs w:val="1"/><w:shd w:val="clear" w:fill="rgba(0,0,0,0)"/></w:rPr><w:t xml:space="preserve">y Securities and Use of Proceeds</w:t></w:r><w:r><w:rPr><w:rFonts w:ascii="Times New Roman" w:hAnsi="Times New Roman" w:eastAsia="Times New Roman" w:cs="Times New Roman"/><w:color w:val="rgba(0,0,0,1)"/><w:sz w:val="20"/><w:szCs w:val="20"/><w:b w:val="1"/><w:b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None.</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shd w:val="clear" w:fill="rgba(0,0,0,0)"/></w:rPr><w:t xml:space="preserve">Item 3. Defaults Upo</w:t></w:r><w:r><w:rPr><w:rFonts w:ascii="Times New Roman" w:hAnsi="Times New Roman" w:eastAsia="Times New Roman" w:cs="Times New Roman"/><w:color w:val="rgba(0,0,0,1)"/><w:sz w:val="20"/><w:szCs w:val="20"/><w:b w:val="1"/><w:bCs w:val="1"/><w:shd w:val="clear" w:fill="rgba(0,0,0,0)"/></w:rPr><w:t xml:space="preserve">n Senior Securities</w:t></w:r><w:r><w:rPr><w:rFonts w:ascii="Times New Roman" w:hAnsi="Times New Roman" w:eastAsia="Times New Roman" w:cs="Times New Roman"/><w:color w:val="rgba(0,0,0,1)"/><w:sz w:val="20"/><w:szCs w:val="20"/><w:b w:val="1"/><w:b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None.</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shd w:val="clear" w:fill="rgba(0,0,0,0)"/></w:rPr><w:t xml:space="preserve">Item 4. Mine Saf</w:t></w:r><w:r><w:rPr><w:rFonts w:ascii="Times New Roman" w:hAnsi="Times New Roman" w:eastAsia="Times New Roman" w:cs="Times New Roman"/><w:color w:val="rgba(0,0,0,1)"/><w:sz w:val="20"/><w:szCs w:val="20"/><w:b w:val="1"/><w:bCs w:val="1"/><w:shd w:val="clear" w:fill="rgba(0,0,0,0)"/></w:rPr><w:t xml:space="preserve">ety Disclosures</w:t></w:r><w:r><w:rPr><w:rFonts w:ascii="Times New Roman" w:hAnsi="Times New Roman" w:eastAsia="Times New Roman" w:cs="Times New Roman"/><w:color w:val="rgba(0,0,0,1)"/><w:sz w:val="20"/><w:szCs w:val="20"/><w:b w:val="1"/><w:bCs w:val="1"/></w:rPr><w:t xml:space="preserve"> </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Not Applicable.</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shd w:val="clear" w:fill="rgba(0,0,0,0)"/></w:rPr><w:t xml:space="preserve">Item 5. Other </w:t></w:r><w:r><w:rPr><w:rFonts w:ascii="Times New Roman" w:hAnsi="Times New Roman" w:eastAsia="Times New Roman" w:cs="Times New Roman"/><w:color w:val="rgba(0,0,0,1)"/><w:sz w:val="20"/><w:szCs w:val="20"/><w:b w:val="1"/><w:bCs w:val="1"/><w:shd w:val="clear" w:fill="rgba(0,0,0,0)"/></w:rPr><w:t xml:space="preserve">Information</w:t></w:r></w:p><w:p><w:pPr><w:jc w:val="start"/><w:ind w:left="0" w:right="0" w:firstLine="0" w:hanging="0"/><w:spacing w:before="120" w:after="0" w:line="276" w:lineRule="auto"/></w:pPr><w:r><w:rPr><w:rFonts w:ascii="Times New Roman" w:hAnsi="Times New Roman" w:eastAsia="Times New Roman" w:cs="Times New Roman"/><w:color w:val="rgba(0,0,0,1)"/><w:sz w:val="20"/><w:szCs w:val="20"/><w:b w:val="0"/><w:bCs w:val="0"/><w:shd w:val="clear" w:fill="rgba(0,0,0,0)"/></w:rPr><w:t xml:space="preserve">None.</w:t></w:r></w:p><w:p><w:pPr><w:jc w:val="center"/><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34</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360" w:after="0" w:line="276" w:lineRule="auto"/></w:pPr><w:r><w:rPr><w:rFonts w:ascii="Times New Roman" w:hAnsi="Times New Roman" w:eastAsia="Times New Roman" w:cs="Times New Roman"/><w:color w:val="rgba(0,0,0,1)"/><w:sz w:val="20"/><w:szCs w:val="20"/><w:b w:val="1"/><w:bCs w:val="1"/><w:shd w:val="clear" w:fill="rgba(0,0,0,0)"/></w:rPr><w:t xml:space="preserve">Item 6. E</w:t></w:r><w:r><w:rPr><w:rFonts w:ascii="Times New Roman" w:hAnsi="Times New Roman" w:eastAsia="Times New Roman" w:cs="Times New Roman"/><w:color w:val="rgba(0,0,0,1)"/><w:sz w:val="20"/><w:szCs w:val="20"/><w:b w:val="1"/><w:bCs w:val="1"/><w:shd w:val="clear" w:fill="rgba(0,0,0,0)"/></w:rPr><w:t xml:space="preserve">xhibits</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49250" w:type="dxa"/><w:gridCol w:w="100" w:type="dxa"/><w:gridCol w:w="650" w:type="dxa"/></w:tblGrid><w:tblPr><w:tblW w:w="0" w:type="pct"/><w:tblLayout w:type="autofit"/></w:tblPr><w:tr><w:trPr/><w:tc><w:tcPr><w:tcW w:w="49250" w:type="pct"/><w:noWrap/></w:tcPr><w:p><w:pPr/></w:p></w:tc><w:tc><w:tcPr><w:tcW w:w="100" w:type="pct"/><w:noWrap/></w:tcPr><w:p><w:pPr/></w:p></w:tc><w:tc><w:tcPr><w:tcW w:w="650" w:type="pct"/><w:noWrap/></w:tcPr><w:p><w:pPr/></w:p></w:tc></w:tr><w:tr><w:trPr><w:trHeight w:val="160" w:hRule="exact"/></w:trPr><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Exhibit</w:t></w:r></w:p><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number</w:t></w:r><w:r><w:rPr><w:rFonts w:ascii="Times New Roman" w:hAnsi="Times New Roman" w:eastAsia="Times New Roman" w:cs="Times New Roman"/><w:color w:val="rgba(0,0,0,1)"/><w:sz w:val="16"/><w:szCs w:val="16"/><w:b w:val="0"/><w:bCs w:val="0"/><w:shd w:val="clear" w:fill="rgba(0,0,0,0)"/></w:rPr><w:t xml:space="preserve"> </w:t></w:r></w:p></w:tc><w:tc><w:tcPr><w:tcW w:w="0" w:type="pct"/><w:vAlign w:val="top"/><w:tcBorders><w:bottom w:val="single" w:sz="5000" w:color="solid"/></w:tcBorders><w:shd w:val="clear" w:fill="rgba(0,0,0,0)"/><w:noWrap/></w:tcPr><w:p><w:pPr><w:jc w:val="center"/><w:ind w:left="0" w:right="0" w:firstLine="0" w:hanging="0"/><w:spacing w:before="0" w:after="0" w:line="252" w:lineRule="auto"/></w:pPr><w:r><w:rPr><w:rFonts w:ascii="Times New Roman" w:hAnsi="Times New Roman" w:eastAsia="Times New Roman" w:cs="Times New Roman"/><w:sz w:val="16"/><w:szCs w:val="16"/><w:shd w:val="clear" w:fill="rgba(0,0,0,0)"/></w:rPr><w:t xml:space="preserve"> </w:t></w:r></w:p></w:tc><w:tc><w:tcPr><w:tcW w:w="0" w:type="pct"/><w:vAlign w:val="bottom"/><w:shd w:val="clear" w:fill="rgba(0,0,0,0)"/><w:noWrap/></w:tcPr><w:p><w:pPr><w:jc w:val="center"/><w:ind w:left="0" w:right="0" w:firstLine="0" w:hanging="0"/><w:spacing w:before="0" w:after="0" w:line="252" w:lineRule="auto"/></w:pPr><w:r><w:rPr><w:rFonts w:ascii="Times New Roman" w:hAnsi="Times New Roman" w:eastAsia="Times New Roman" w:cs="Times New Roman"/><w:color w:val="rgba(0,0,0,1)"/><w:sz w:val="16"/><w:szCs w:val="16"/><w:b w:val="1"/><w:bCs w:val="1"/><w:shd w:val="clear" w:fill="rgba(0,0,0,0)"/></w:rPr><w:t xml:space="preserve">Description</w:t></w:r><w:r><w:rPr><w:rFonts w:ascii="Times New Roman" w:hAnsi="Times New Roman" w:eastAsia="Times New Roman" w:cs="Times New Roman"/><w:color w:val="rgba(0,0,0,1)"/><w:sz w:val="16"/><w:szCs w:val="16"/><w:b w:val="0"/><w:bCs w:val="0"/><w:shd w:val="clear" w:fill="rgba(0,0,0,0)"/></w:rPr><w:t xml:space="preserve"> </w:t></w:r></w:p></w:tc></w:tr><w:tr><w:trPr><w:trHeight w:val="114.99999999999999"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3.1</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4"/><w:szCs w:val="24"/><w:shd w:val="clear" w:fill="rgba(0,0,0,0)"/></w:rPr><w:t xml:space="preserve"> </w:t></w:r></w:p></w:tc><w:tc><w:tcPr><w:tcW w:w="0" w:type="pct"/><w:vAlign w:val="top"/><w:shd w:val="clear" w:fill="rgba(0,0,0,0)"/><w:noWrap/></w:tcPr><w:p><w:pPr><w:jc w:val="start"/><w:ind w:left="0" w:right="0" w:firstLine="0" w:hanging="0"/><w:spacing w:before="0" w:after="0" w:line="252" w:lineRule="auto"/></w:pPr><w:hyperlink r:id="rId27" w:history="1"><w:r><w:rPr/><w:t xml:space="preserve">Certificate of Incorporation of Organogenesis Holdings Inc. (incorporated by reference to Exhibit 3.1 to the Company’s Registration Statement on Form S-3/A (File No. 333-233621) filed with the SEC on September 16, 2019)</w:t></w:r></w:hyperlink></w:p></w:tc></w:tr><w:tr><w:trPr><w:trHeight w:val="114.99999999999999"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3.2</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4"/><w:szCs w:val="24"/><w:shd w:val="clear" w:fill="rgba(0,0,0,0)"/></w:rPr><w:t xml:space="preserve"> </w:t></w:r></w:p></w:tc><w:tc><w:tcPr><w:tcW w:w="0" w:type="pct"/><w:vAlign w:val="top"/><w:shd w:val="clear" w:fill="rgba(0,0,0,0)"/><w:noWrap/></w:tcPr><w:p><w:pPr><w:jc w:val="start"/><w:ind w:left="0" w:right="0" w:firstLine="0" w:hanging="0"/><w:spacing w:before="0" w:after="0" w:line="252" w:lineRule="auto"/></w:pPr><w:hyperlink r:id="rId28" w:history="1"><w:r><w:rPr/><w:t xml:space="preserve">Certificate of Amendment of Certificate of Incorporation of Organogenesis Holdings Inc. (incorporated by reference to Exhibit 3.1 to the Company’s Current Report on Form 8-K (File No. 001-37906) filed with the SEC on June 27, 2022)</w:t></w:r></w:hyperlink></w:p></w:tc></w:tr><w:tr><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3.3</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hyperlink r:id="rId29" w:history="1"><w:r><w:rPr/><w:t xml:space="preserve">Bylaws of Organogenesis Holdings Inc. (incorporated by reference to Exhibit 3.2 to the Company’s Registration Statement on Form S-3/A (File No. 333-233621) filed with the SEC on September 16, 2019)</w:t></w:r></w:hyperlink></w:p></w:tc></w:tr><w:tr><w:trPr><w:trHeight w:val="144"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10.1</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 </w:t></w:r><w:hyperlink r:id="rId30" w:history="1"><w:r><w:rPr/><w:t xml:space="preserve"> Organogenesis Holdings Inc. 2018 Equity Incentive Plan (as amended)</w:t></w:r></w:hyperlink></w:p></w:tc></w:tr><w:tr><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31.1</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hyperlink r:id="rId31" w:history="1"><w:r><w:rPr/><w:t xml:space="preserve">Certification of Principal Executive Officer pursuant to Rule 13a-14(a) or Rule 15d-14(a) of the Securities Exchange Act of 1934, as adopted pursuant to Section 302 of the Sarbanes-Oxley Act of 2002 </w:t></w:r></w:hyperlink></w:p></w:tc></w:tr><w:tr><w:trPr><w:trHeight w:val="114.99999999999999"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31.2</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hyperlink r:id="rId32" w:history="1"><w:r><w:rPr/><w:t xml:space="preserve">Certification of Principal Financial Officer pursuant to Rule 13a-14(a) or Rule 15d-14(a) of the Securities Exchange Act of 1934, as adopted pursuant to Section 302 of the Sarbanes-Oxley Act of 2002 </w:t></w:r></w:hyperlink></w:p></w:tc></w:tr><w:tr><w:trPr><w:trHeight w:val="114.99999999999999"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32.1</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hyperlink r:id="rId33" w:history="1"><w:r><w:rPr/><w:t xml:space="preserve">Certification of Principal Executive Officer and Principal Financial Officer pursuant to 18 U.S.C. Section 1350, as adopted pursuant to Section 906 of the Sarbanes-Oxley Act of 2002 </w:t></w:r></w:hyperlink></w:p></w:tc></w:tr><w:tr><w:trPr><w:trHeight w:val="114.99999999999999"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101.INS</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XBRL Instance Document XBRL</w:t></w:r></w:p></w:tc></w:tr><w:tr><w:trPr><w:trHeight w:val="114.99999999999999"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101.SCH</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XBRL Taxonomy Extension Schema Document</w:t></w:r></w:p></w:tc></w:tr><w:tr><w:trPr><w:trHeight w:val="114.99999999999999"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101.CAL</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XBRL Taxonomy Extension Calculation Linkbase Document</w:t></w:r></w:p></w:tc></w:tr><w:tr><w:trPr><w:trHeight w:val="114.99999999999999"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101.DEF</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XBRL Taxonomy Extension Definition Linkbase Document</w:t></w:r></w:p></w:tc></w:tr><w:tr><w:trPr><w:trHeight w:val="114.99999999999999"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101.LAB</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XBRL Taxonomy Extension Label Linkbase Document</w:t></w:r></w:p></w:tc></w:tr><w:tr><w:trPr><w:trHeight w:val="114.99999999999999" w:hRule="exact"/></w:trPr><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center"/><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101.PRE</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XBRL Taxonomy Extension Presentation Linkbase Document</w:t></w:r></w:p></w:tc></w:tr><w:tr><w:trPr><w:trHeight w:val="114.99999999999999"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12"/><w:szCs w:val="12"/><w:shd w:val="clear" w:fill="rgba(0,0,0,0)"/></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104</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Cover Page Interactive Data File (formatted as Inline XBRL and contained in Exhibit 101).</w:t></w:r></w:p></w:tc></w:tr></w:tbl><w:p><w:pPr><w:jc w:val="start"/><w:ind w:left="0" w:right="0" w:firstLine="0" w:hanging="0"/><w:spacing w:before="0" w:after="0" w:line="276" w:lineRule="auto"/></w:pPr><w:r><w:rPr><w:rFonts w:ascii="Times New Roman" w:hAnsi="Times New Roman" w:eastAsia="Times New Roman" w:cs="Times New Roman"/><w:color w:val="rgba(0,0,0,1)"/><w:sz w:val="20"/><w:szCs w:val="20"/><w:b w:val="0"/><w:bCs w:val="0"/></w:rPr><w:t xml:space="preserve"> </w:t></w:r><w:r><w:rPr><w:rFonts w:ascii="Times New Roman" w:hAnsi="Times New Roman" w:eastAsia="Times New Roman" w:cs="Times New Roman"/><w:sz w:val="20"/><w:szCs w:val="2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start"/><w:ind w:left="0" w:right="0" w:firstLine="0" w:hanging="0"/><w:spacing w:before="40" w:after="0" w:line="276" w:lineRule="auto"/></w:pPr><w:r><w:rPr><w:rFonts w:ascii="Times New Roman" w:hAnsi="Times New Roman" w:eastAsia="Times New Roman" w:cs="Times New Roman"/><w:color w:val="rgba(0,0,0,1)"/><w:sz w:val="20"/><w:szCs w:val="20"/><w:b w:val="0"/><w:bCs w:val="0"/><w:i w:val="1"/><w:iCs w:val="1"/><w:shd w:val="clear" w:fill="rgba(0,0,0,0)"/></w:rPr><w:t xml:space="preserve"> Filed herewith</w:t></w:r></w:p><w:p><w:pPr><w:jc w:val="start"/><w:ind w:left="0" w:right="0" w:firstLine="0" w:hanging="0"/><w:spacing w:before="40" w:after="0" w:line="276" w:lineRule="auto"/></w:pPr><w:r><w:rPr><w:rFonts w:ascii="Times New Roman" w:hAnsi="Times New Roman" w:eastAsia="Times New Roman" w:cs="Times New Roman"/><w:color w:val="rgba(0,0,0,1)"/><w:sz w:val="20"/><w:szCs w:val="20"/><w:b w:val="0"/><w:bCs w:val="0"/><w:shd w:val="clear" w:fill="rgba(0,0,0,0)"/></w:rPr><w:t xml:space="preserve">* Management contract or compensatory plan or arrangement</w:t></w:r></w:p><w:p><w:pPr><w:jc w:val="start"/><w:ind w:left="0" w:right="0" w:firstLine="0" w:hanging="0"/><w:spacing w:before="40" w:after="0" w:line="276" w:lineRule="auto"/></w:pPr><w:r><w:rPr><w:rFonts w:ascii="Times New Roman" w:hAnsi="Times New Roman" w:eastAsia="Times New Roman" w:cs="Times New Roman"/><w:color w:val="rgba(0,0,0,1)"/><w:sz w:val="20"/><w:szCs w:val="20"/><w:b w:val="0"/><w:bCs w:val="0"/><w:i w:val="1"/><w:iCs w:val="1"/></w:rPr><w:t xml:space="preserve"> </w:t></w:r><w:r><w:rPr><w:rFonts w:ascii="Times New Roman" w:hAnsi="Times New Roman" w:eastAsia="Times New Roman" w:cs="Times New Roman"/><w:sz w:val="20"/><w:szCs w:val="20"/></w:rPr><w:t xml:space="preserve"> </w:t></w:r></w:p><w:p><w:pPr><w:jc w:val="start"/><w:ind w:left="0" w:right="0" w:firstLine="0" w:hanging="0"/><w:spacing w:before="40" w:after="0" w:line="276" w:lineRule="auto"/></w:pPr><w:r><w:rPr><w:rFonts w:ascii="Times New Roman" w:hAnsi="Times New Roman" w:eastAsia="Times New Roman" w:cs="Times New Roman"/><w:sz w:val="20"/><w:szCs w:val="20"/></w:rPr><w:t xml:space="preserve"> </w:t></w:r></w:p><w:p><w:pPr><w:jc w:val="center"/><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35</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0" w:after="0" w:line="276" w:lineRule="auto"/></w:pPr><w:r><w:rPr><w:rFonts w:ascii="Times New Roman" w:hAnsi="Times New Roman" w:eastAsia="Times New Roman" w:cs="Times New Roman"/><w:color w:val="rgba(0,0,0,1)"/><w:sz w:val="20"/><w:szCs w:val="20"/><w:b w:val="1"/><w:bCs w:val="1"/><w:shd w:val="clear" w:fill="rgba(0,0,0,0)"/></w:rPr><w:t xml:space="preserve">SIGNAT</w:t></w:r><w:r><w:rPr><w:rFonts w:ascii="Times New Roman" w:hAnsi="Times New Roman" w:eastAsia="Times New Roman" w:cs="Times New Roman"/><w:color w:val="rgba(0,0,0,1)"/><w:sz w:val="20"/><w:szCs w:val="20"/><w:b w:val="1"/><w:bCs w:val="1"/><w:shd w:val="clear" w:fill="rgba(0,0,0,0)"/></w:rPr><w:t xml:space="preserve">URES</w:t></w:r><w:r><w:rPr><w:rFonts w:ascii="Times New Roman" w:hAnsi="Times New Roman" w:eastAsia="Times New Roman" w:cs="Times New Roman"/><w:color w:val="rgba(0,0,0,1)"/><w:sz w:val="20"/><w:szCs w:val="20"/><w:b w:val="1"/><w:bCs w:val="1"/></w:rPr><w:t xml:space="preserve"> </w:t></w:r></w:p><w:p><w:pPr><w:jc w:val="start"/><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Pursuant to the requirements of the Securities Exchange Act of 1934, the registrant has duly caused this report to be signed on its behalf by the undersigned thereunto duly authorized.</w:t></w:r><w:r><w:rPr><w:rFonts w:ascii="Times New Roman" w:hAnsi="Times New Roman" w:eastAsia="Times New Roman" w:cs="Times New Roman"/><w:color w:val="rgba(0,0,0,1)"/><w:sz w:val="20"/><w:szCs w:val="20"/><w:b w:val="0"/><w:bCs w:val="0"/></w:rPr><w:t xml:space="preserve"> </w:t></w:r></w:p><w:p><w:pPr><w:jc w:val="start"/><w:ind w:left="0" w:right="0" w:firstLine="0" w:hanging="0"/><w:spacing w:before="0" w:after="0" w:line="276" w:lineRule="auto"/></w:pPr><w:r><w:rPr><w:rFonts w:ascii="Times New Roman" w:hAnsi="Times New Roman" w:eastAsia="Times New Roman" w:cs="Times New Roman"/><w:sz w:val="20"/><w:szCs w:val="20"/></w:rPr><w:t xml:space="preserve"> </w:t></w:r></w:p><w:tbl><w:tblGrid><w:gridCol w:w="0" w:type="dxa"/><w:gridCol w:w="6100" w:type="dxa"/><w:gridCol w:w="43900" w:type="dxa"/></w:tblGrid><w:tblPr><w:tblW w:w="0" w:type="pct"/><w:tblLayout w:type="autofit"/></w:tblPr><w:tr><w:trPr/><w:tc><w:tcPr><w:tcW w:w="0" w:type="pct"/><w:noWrap/></w:tcPr><w:p><w:pPr/></w:p></w:tc><w:tc><w:tcPr><w:tcW w:w="6100" w:type="pct"/><w:noWrap/></w:tcPr><w:p><w:pPr/></w:p></w:tc><w:tc><w:tcPr><w:tcW w:w="43900" w:type="pct"/><w:noWrap/></w:tcPr><w:p><w:pP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Dated: August 9, 2022</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1"/><w:bCs w:val="1"/><w:shd w:val="clear" w:fill="rgba(0,0,0,0)"/></w:rPr><w:t xml:space="preserve">Organogenesis Holdings Inc.</w:t></w:r></w:p></w:tc></w:tr><w:tr><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(Registrant)</w:t></w:r></w:p></w:tc></w:tr><w:tr><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center"/><w:ind w:left="0" w:right="0" w:firstLine="0" w:hanging="0"/><w:spacing w:before="0" w:after="0" w:line="252" w:lineRule="auto"/></w:pPr><w:r><w:rPr><w:rFonts w:ascii="Times New Roman" w:hAnsi="Times New Roman" w:eastAsia="Times New Roman" w:cs="Times New Roman"/><w:color w:val="rgba(0,0,0,1)"/><w:sz w:val="20"/><w:szCs w:val="20"/><w:b w:val="0"/><w:bCs w:val="0"/><w:shd w:val="clear" w:fill="rgba(0,0,0,0)"/></w:rPr><w:t xml:space="preserve">/s/ David Francisco</w:t></w:r></w:p></w:tc></w:tr><w:tr><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center"/><w:ind w:left="0" w:right="0" w:firstLine="0" w:hanging="0"/><w:spacing w:before="0" w:after="0" w:line="252" w:lineRule="auto"/></w:pPr><w:r><w:rPr><w:rFonts w:ascii="Times New Roman" w:hAnsi="Times New Roman" w:eastAsia="Times New Roman" w:cs="Times New Roman"/><w:color w:val="rgba(0,0,0,1)"/><w:sz w:val="20"/><w:szCs w:val="20"/><w:b w:val="1"/><w:bCs w:val="1"/><w:shd w:val="clear" w:fill="rgba(0,0,0,0)"/></w:rPr><w:t xml:space="preserve">David Francisco</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center"/><w:ind w:left="0" w:right="0" w:firstLine="0" w:hanging="0"/><w:spacing w:before="0" w:after="0" w:line="252" w:lineRule="auto"/></w:pPr><w:r><w:rPr><w:rFonts w:ascii="Times New Roman" w:hAnsi="Times New Roman" w:eastAsia="Times New Roman" w:cs="Times New Roman"/><w:color w:val="rgba(0,0,0,1)"/><w:sz w:val="20"/><w:szCs w:val="20"/><w:b w:val="1"/><w:bCs w:val="1"/><w:shd w:val="clear" w:fill="rgba(0,0,0,0)"/></w:rPr><w:t xml:space="preserve">Chief Financial Officer</w:t></w:r></w:p></w:tc></w:tr><w:tr><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rHeight w:val="200" w:hRule="exact"/></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center"/><w:ind w:left="0" w:right="0" w:firstLine="0" w:hanging="0"/><w:spacing w:before="0" w:after="0" w:line="252" w:lineRule="auto"/></w:pPr><w:r><w:rPr><w:rFonts w:ascii="Times New Roman" w:hAnsi="Times New Roman" w:eastAsia="Times New Roman" w:cs="Times New Roman"/><w:color w:val="rgba(0,0,0,1)"/><w:sz w:val="20"/><w:szCs w:val="20"/><w:b w:val="1"/><w:bCs w:val="1"/><w:shd w:val="clear" w:fill="rgba(0,0,0,0)"/></w:rPr><w:t xml:space="preserve">(Principal Financial and Accounting Officer)</w:t></w:r></w:p></w:tc></w:tr><w:tr><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r><w:trPr/><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c><w:tcPr><w:tcW w:w="0" w:type="pct"/><w:vAlign w:val="top"/><w:shd w:val="clear" w:fill="rgba(0,0,0,0)"/><w:noWrap/></w:tcPr><w:p><w:pPr><w:jc w:val="start"/><w:ind w:left="0" w:right="0" w:firstLine="0" w:hanging="0"/><w:spacing w:before="0" w:after="0" w:line="252" w:lineRule="auto"/></w:pPr><w:r><w:rPr><w:rFonts w:ascii="Times New Roman" w:hAnsi="Times New Roman" w:eastAsia="Times New Roman" w:cs="Times New Roman"/><w:sz w:val="20"/><w:szCs w:val="20"/><w:shd w:val="clear" w:fill="rgba(0,0,0,0)"/></w:rPr><w:t xml:space="preserve"> </w:t></w:r></w:p></w:tc></w:tr></w:tbl><w:p><w:pPr><w:jc w:val="start"/><w:ind w:left="0" w:right="0" w:firstLine="0" w:hanging="0"/><w:spacing w:before="0" w:after="0" w:line="276" w:lineRule="auto"/></w:pPr><w:r><w:rPr><w:rFonts w:ascii="Times New Roman" w:hAnsi="Times New Roman" w:eastAsia="Times New Roman" w:cs="Times New Roman"/><w:sz w:val="20"/><w:szCs w:val="20"/></w:rPr><w:t xml:space="preserve"> </w:t></w:r></w:p><w:p><w:pPr><w:jc w:val="center"/><w:ind w:left="0" w:right="0" w:firstLine="0" w:hanging="0"/><w:spacing w:before="240" w:after="0" w:line="276" w:lineRule="auto"/></w:pPr><w:r><w:rPr><w:rFonts w:ascii="Times New Roman" w:hAnsi="Times New Roman" w:eastAsia="Times New Roman" w:cs="Times New Roman"/><w:color w:val="rgba(0,0,0,1)"/><w:sz w:val="20"/><w:szCs w:val="20"/><w:b w:val="0"/><w:bCs w:val="0"/><w:shd w:val="clear" w:fill="rgba(0,0,0,0)"/></w:rPr><w:t xml:space="preserve">36</w:t></w:r></w:p><w:p><w:pPr><w:spacing w:before="120" w:after="120" w:line="240" w:lineRule="auto"/><w:pBdr><w:bottom w:val="single" w:sz="1" w:color="000000"/></w:pBdr></w:pPr><w:r><w:rPr><w:sz w:val="6"/><w:szCs w:val="6"/></w:rPr><w:t xml:space="preserve"></w:t></w:r></w:p><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toc_page" TargetMode="External"/><Relationship Id="rId8" Type="http://schemas.openxmlformats.org/officeDocument/2006/relationships/hyperlink" Target="part_ifinancial_information" TargetMode="External"/><Relationship Id="rId9" Type="http://schemas.openxmlformats.org/officeDocument/2006/relationships/hyperlink" Target="item_1_unaudited_consolidated_financial_" TargetMode="External"/><Relationship Id="rId10" Type="http://schemas.openxmlformats.org/officeDocument/2006/relationships/hyperlink" Target="consolidated_balance_sheets" TargetMode="External"/><Relationship Id="rId11" Type="http://schemas.openxmlformats.org/officeDocument/2006/relationships/hyperlink" Target="consolidated_statements_operations" TargetMode="External"/><Relationship Id="rId12" Type="http://schemas.openxmlformats.org/officeDocument/2006/relationships/hyperlink" Target="consolidated_statements_redeemable_commo" TargetMode="External"/><Relationship Id="rId13" Type="http://schemas.openxmlformats.org/officeDocument/2006/relationships/hyperlink" Target="consolidated_statements_cash_flows" TargetMode="External"/><Relationship Id="rId14" Type="http://schemas.openxmlformats.org/officeDocument/2006/relationships/hyperlink" Target="notes_to_unaudited_consolidated_financia" TargetMode="External"/><Relationship Id="rId15" Type="http://schemas.openxmlformats.org/officeDocument/2006/relationships/hyperlink" Target="item_2_managements_discussion_analysis_f" TargetMode="External"/><Relationship Id="rId16" Type="http://schemas.openxmlformats.org/officeDocument/2006/relationships/hyperlink" Target="item_3_quantitative_qualitative_disclosu" TargetMode="External"/><Relationship Id="rId17" Type="http://schemas.openxmlformats.org/officeDocument/2006/relationships/hyperlink" Target="item_4_controls_procedures" TargetMode="External"/><Relationship Id="rId18" Type="http://schemas.openxmlformats.org/officeDocument/2006/relationships/hyperlink" Target="part_ii_or_information" TargetMode="External"/><Relationship Id="rId19" Type="http://schemas.openxmlformats.org/officeDocument/2006/relationships/hyperlink" Target="item_1_legal_proceedings" TargetMode="External"/><Relationship Id="rId20" Type="http://schemas.openxmlformats.org/officeDocument/2006/relationships/hyperlink" Target="item_1a_risk_factors" TargetMode="External"/><Relationship Id="rId21" Type="http://schemas.openxmlformats.org/officeDocument/2006/relationships/hyperlink" Target="item_2_unregistered_sales_equity_securit" TargetMode="External"/><Relationship Id="rId22" Type="http://schemas.openxmlformats.org/officeDocument/2006/relationships/hyperlink" Target="item_3_defaults_upon_senior_securities" TargetMode="External"/><Relationship Id="rId23" Type="http://schemas.openxmlformats.org/officeDocument/2006/relationships/hyperlink" Target="item_4_mine_safety_disclosures" TargetMode="External"/><Relationship Id="rId24" Type="http://schemas.openxmlformats.org/officeDocument/2006/relationships/hyperlink" Target="item_5_or_information" TargetMode="External"/><Relationship Id="rId25" Type="http://schemas.openxmlformats.org/officeDocument/2006/relationships/hyperlink" Target="item_6_exhibits" TargetMode="External"/><Relationship Id="rId26" Type="http://schemas.openxmlformats.org/officeDocument/2006/relationships/hyperlink" Target="signatures" TargetMode="External"/><Relationship Id="rId27" Type="http://schemas.openxmlformats.org/officeDocument/2006/relationships/hyperlink" Target="https://www.sec.gov/Archives/edgar/data/1661181/000119312519245823/d772464dex31.htm" TargetMode="External"/><Relationship Id="rId28" Type="http://schemas.openxmlformats.org/officeDocument/2006/relationships/hyperlink" Target="https://www.sec.gov/Archives/edgar/data/0001661181/000119312522182860/d299566dex31.htm" TargetMode="External"/><Relationship Id="rId29" Type="http://schemas.openxmlformats.org/officeDocument/2006/relationships/hyperlink" Target="https://www.sec.gov/Archives/edgar/data/1661181/000119312519245823/d772464dex32.htm" TargetMode="External"/><Relationship Id="rId30" Type="http://schemas.openxmlformats.org/officeDocument/2006/relationships/hyperlink" Target="orgo-ex10_1.htm" TargetMode="External"/><Relationship Id="rId31" Type="http://schemas.openxmlformats.org/officeDocument/2006/relationships/hyperlink" Target="orgo-ex31_1.htm" TargetMode="External"/><Relationship Id="rId32" Type="http://schemas.openxmlformats.org/officeDocument/2006/relationships/hyperlink" Target="orgo-ex31_2.htm" TargetMode="External"/><Relationship Id="rId33" Type="http://schemas.openxmlformats.org/officeDocument/2006/relationships/hyperlink" Target="orgo-ex32_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2026-08-07T07:23:38-04:00</dcterms:created>
  <dcterms:modified xsi:type="dcterms:W3CDTF">2026-08-07T07:23:38-04:00</dcterms:modified>
</cp:coreProperties>
</file>

<file path=docProps/custom.xml><?xml version="1.0" encoding="utf-8"?>
<Properties xmlns="http://schemas.openxmlformats.org/officeDocument/2006/custom-properties" xmlns:vt="http://schemas.openxmlformats.org/officeDocument/2006/docPropsVTypes"/>
</file>