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5"/><w:jc w:val="start"/></w:pPr><w:hyperlink w:anchor="toc_page" w:history="1"><w:r><w:rPr/><w:t xml:space="preserve">Table of Contents</w:t></w:r></w:hyperlink></w:p><w:p><w:pPr><w:jc w:val="end"/><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8"/><w:szCs w:val="8"/></w:rPr><w:t xml:space="preserve"> </w:t></w:r></w:p><w:p><w:pPr><w:jc w:val="center"/><w:ind w:left="0" w:right="0" w:firstLine="0" w:hanging="0"/><w:spacing w:before="0" w:after="0"/></w:pPr><w:r><w:rPr><w:rFonts w:ascii="Times New Roman" w:hAnsi="Times New Roman" w:eastAsia="Times New Roman" w:cs="Times New Roman"/><w:sz w:val="8"/><w:szCs w:val="8"/></w:rPr><w:t xml:space="preserve"> </w:t></w:r></w:p><w:p><w:pPr><w:jc w:val="center"/><w:ind w:left="0" w:right="0" w:firstLine="0" w:hanging="0"/><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ind w:left="0" w:right="0" w:firstLine="0" w:hanging="0"/><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ind w:left="0" w:right="0" w:firstLine="0" w:hanging="0"/><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ind w:left="0" w:right="0" w:firstLine="0" w:hanging="0"/><w:spacing w:before="0" w:after="0"/></w:pPr><w:r><w:rPr><w:rFonts w:ascii="Times New Roman" w:hAnsi="Times New Roman" w:eastAsia="Times New Roman" w:cs="Times New Roman"/><w:color w:val="000000"/><w:sz w:val="8"/><w:szCs w:val="8"/><w:b w:val="0"/><w:bCs w:val="0"/></w:rPr><w:t xml:space="preserve"> </w:t></w:r></w:p><w:p><w:pPr><w:jc w:val="center"/><w:ind w:left="0" w:right="0" w:firstLine="0" w:hanging="0"/><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ind w:left="0" w:right="0" w:firstLine="0" w:hanging="0"/><w:spacing w:before="0" w:after="0"/></w:pPr><w:r><w:rPr><w:rFonts w:ascii="Times New Roman" w:hAnsi="Times New Roman" w:eastAsia="Times New Roman" w:cs="Times New Roman"/><w:color w:val="000000"/><w:sz w:val="8"/><w:szCs w:val="8"/><w:b w:val="0"/><w:bCs w:val="0"/></w:rPr><w:t xml:space="preserve"> </w:t></w:r></w:p><w:p><w:pPr><w:jc w:val="center"/><w:ind w:left="0" w:right="0" w:firstLine="0" w:hanging="0"/><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Segoe UI Symbol'" w:hAnsi="'Segoe UI Symbol'" w:eastAsia="'Segoe UI Symbol'" w:cs="'Segoe UI Symbol'"/><w:color w:val="000000"/><w:sz w:val="20"/><w:szCs w:val="20"/><w:b w:val="0"/><w:bCs w:val="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ind w:left="0" w:right="0" w:firstLine="0" w:hanging="0"/><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September 30, </w:t></w:r><w:r><w:rPr><w:rFonts w:ascii="Times New Roman" w:hAnsi="Times New Roman" w:eastAsia="Times New Roman" w:cs="Times New Roman"/><w:color w:val="000000"/><w:sz w:val="20"/><w:szCs w:val="20"/><w:b w:val="1"/><w:bCs w:val="1"/></w:rPr><w:t xml:space="preserve">2023</w:t></w:r></w:p><w:p><w:pPr><w:jc w:val="center"/><w:ind w:left="0" w:right="0" w:firstLine="0" w:hanging="0"/><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ind w:left="0" w:right="0" w:firstLine="0" w:hanging="0"/><w:spacing w:before="80" w:after="0"/></w:pPr><w:r><w:rPr><w:rFonts w:ascii="'Segoe UI Symbol'" w:hAnsi="'Segoe UI Symbol'" w:eastAsia="'Segoe UI Symbol'" w:cs="'Segoe UI Symbol'"/><w:color w:val="000000"/><w:sz w:val="20"/><w:szCs w:val="20"/><w:b w:val="0"/><w:bCs w:val="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ind w:left="0" w:right="0" w:firstLine="0" w:hanging="0"/><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8"/><w:szCs w:val="8"/><w:b w:val="0"/><w:bCs w:val="0"/></w:rPr><w:t xml:space="preserve"> </w:t></w:r></w:p><w:p><w:pPr><w:jc w:val="center"/><w:ind w:left="0" w:right="0" w:firstLine="0" w:hanging="0"/><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8"/><w:szCs w:val="8"/><w:b w:val="0"/><w:bCs w:val="0"/></w:rPr><w:t xml:space="preserve"> </w:t></w:r></w:p><w:p><w:pPr><w:jc w:val="start"/><w:ind w:left="0" w:right="0" w:firstLine="0" w:hanging="0"/><w:spacing w:before="0" w:after="0"/></w:pPr><w:r><w:rPr><w:rFonts w:ascii="Times New Roman" w:hAnsi="Times New Roman" w:eastAsia="Times New Roman" w:cs="Times New Roman"/><w:color w:val="000000"/><w:sz w:val="8"/><w:szCs w:val="8"/><w:b w:val="0"/><w:bCs w:val="0"/></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(State or Other Jurisdiction of</w:t></w:r></w:p><w:p><w:pPr><w:jc w:val="center"/><w:ind w:left="0" w:right="0" w:firstLine="0" w:hanging="0"/><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(I.R.S. Employer</w:t></w:r></w:p><w:p><w:pPr><w:jc w:val="center"/><w:ind w:left="0" w:right="0" w:firstLine="0" w:hanging="0"/><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ind w:left="0" w:right="0" w:firstLine="0" w:hanging="0"/><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ind w:left="0" w:right="0" w:firstLine="0" w:hanging="0"/><w:spacing w:before="0" w:after="0"/></w:pPr><w:r><w:rPr><w:rFonts w:ascii="Times New Roman" w:hAnsi="Times New Roman" w:eastAsia="Times New Roman" w:cs="Times New Roman"/><w:sz w:val="16"/><w:szCs w:val="16"/></w:rPr><w:t xml:space="preserve"> </w:t></w:r></w:p><w:p><w:pPr><w:jc w:val="center"/><w:ind w:left="0" w:right="0" w:firstLine="0" w:hanging="0"/><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ind w:left="0" w:right="0" w:firstLine="0" w:hanging="0"/><w:spacing w:before="0" w:after="0"/></w:pPr><w:r><w:rPr><w:rFonts w:ascii="Times New Roman" w:hAnsi="Times New Roman" w:eastAsia="Times New Roman" w:cs="Times New Roman"/><w:sz w:val="16"/><w:szCs w:val="16"/></w:rPr><w:t xml:space="preserve"> </w:t></w:r></w:p><w:p><w:pPr><w:jc w:val="center"/><w:ind w:left="0" w:right="0" w:firstLine="0" w:hanging="0"/><w:spacing w:before="0" w:after="0"/></w:pPr><w:r><w:rPr><w:rFonts w:ascii="Times New Roman" w:hAnsi="Times New Roman" w:eastAsia="Times New Roman" w:cs="Times New Roman"/><w:sz w:val="16"/><w:szCs w:val="16"/></w:rPr><w:t xml:space="preserve"> </w:t></w:r></w:p><w:p><w:pPr><w:jc w:val="center"/><w:ind w:left="0" w:right="0" w:firstLine="0" w:hanging="0"/><w:spacing w:before="0" w:after="0"/></w:pPr><w:r><w:rPr><w:rFonts w:ascii="Times New Roman" w:hAnsi="Times New Roman" w:eastAsia="Times New Roman" w:cs="Times New Roman"/><w:color w:val="000000"/><w:sz w:val="16"/><w:szCs w:val="16"/><w:b w:val="1"/><w:bCs w:val="1"/></w:rPr><w:t xml:space="preserve">Not Applicable</w:t></w:r></w:p><w:p><w:pPr><w:jc w:val="center"/><w:ind w:left="0" w:right="0" w:firstLine="0" w:hanging="0"/><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12"/><w:szCs w:val="12"/></w:rPr><w:t xml:space="preserve"> </w:t></w:r></w:p><w:p><w:pPr><w:jc w:val="center"/><w:ind w:left="0" w:right="0" w:firstLine="0" w:hanging="0"/><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ind w:left="0" w:right="0" w:firstLine="0" w:hanging="0"/><w:spacing w:before="0" w:after="0"/></w:pPr><w:r><w:rPr><w:rFonts w:ascii="Times New Roman" w:hAnsi="Times New Roman" w:eastAsia="Times New Roman" w:cs="Times New Roman"/><w:sz w:val="12"/><w:szCs w:val="12"/></w:rPr><w:t xml:space="preserve"> </w:t></w:r></w:p><w:p><w:pPr><w:jc w:val="start"/><w:ind w:left="0" w:right="0" w:firstLine="0" w:hanging="0"/><w:spacing w:before="0" w:after="0"/></w:pPr><w:r><w:rPr><w:rFonts w:ascii="Times New Roman" w:hAnsi="Times New Roman" w:eastAsia="Times New Roman" w:cs="Times New Roman"/><w:sz w:val="12"/><w:szCs w:val="12"/></w:rPr><w:t xml:space="preserve"> </w:t></w:r></w:p><w:p><w:pPr><w:jc w:val="start"/><w:ind w:left="0" w:right="0" w:firstLine="0" w:hanging="0"/><w:spacing w:before="0" w:after="0"/></w:pPr><w:r><w:rPr><w:rFonts w:ascii="Times New Roman" w:hAnsi="Times New Roman" w:eastAsia="Times New Roman" w:cs="Times New Roman"/><w:color w:val="000000"/><w:sz w:val="12"/><w:szCs w:val="12"/><w:b w:val="0"/><w:bCs w:val="0"/></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ind w:left="0" w:right="0" w:firstLine="0" w:hanging="0"/><w:spacing w:before="0" w:after="0"/></w:pPr><w:r><w:rPr><w:rFonts w:ascii="Times New Roman" w:hAnsi="Times New Roman" w:eastAsia="Times New Roman" w:cs="Times New Roman"/><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ind w:left="0" w:right="0" w:firstLine="0" w:hanging="0"/><w:spacing w:before="0" w:after="0"/></w:pPr><w:r><w:rPr><w:rFonts w:ascii="Times New Roman" w:hAnsi="Times New Roman" w:eastAsia="Times New Roman" w:cs="Times New Roman"/><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ind w:left="0" w:right="0" w:firstLine="0" w:hanging="0"/><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b w:val="0"/><w:bCs w:val="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b w:val="0"/><w:bCs w:val="0"/></w:rPr><w:t xml:space="preserve">Yes</w:t></w:r><w:r><w:rPr><w:rFonts w:ascii="Times New Roman" w:hAnsi="Times New Roman" w:eastAsia="Times New Roman" w:cs="Times New Roman"/><w:color w:val="000000"/><w:sz w:val="16"/><w:szCs w:val="16"/><w:b w:val="0"/><w:bCs w:val="0"/></w:rPr><w:t xml:space="preserve">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No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w:t></w:r></w:p><w:p><w:pPr><w:jc w:val="start"/><w:ind w:left="0" w:right="0" w:firstLine="0" w:hanging="0"/><w:spacing w:before="40" w:after="0"/></w:pPr><w:r><w:rPr><w:rFonts w:ascii="Times New Roman" w:hAnsi="Times New Roman" w:eastAsia="Times New Roman" w:cs="Times New Roman"/><w:color w:val="000000"/><w:sz w:val="16"/><w:szCs w:val="16"/><w:b w:val="0"/><w:bCs w:val="0"/></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b w:val="0"/><w:bCs w:val="0"/></w:rPr><w:t xml:space="preserve">Yes</w:t></w:r><w:r><w:rPr><w:rFonts w:ascii="Times New Roman" w:hAnsi="Times New Roman" w:eastAsia="Times New Roman" w:cs="Times New Roman"/><w:color w:val="000000"/><w:sz w:val="16"/><w:szCs w:val="16"/><w:b w:val="0"/><w:bCs w:val="0"/></w:rPr><w:t xml:space="preserve">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No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w:t></w:r></w:p><w:p><w:pPr><w:jc w:val="start"/><w:ind w:left="0" w:right="0" w:firstLine="0" w:hanging="0"/><w:spacing w:before="40" w:after="0"/></w:pPr><w:r><w:rPr><w:rFonts w:ascii="Times New Roman" w:hAnsi="Times New Roman" w:eastAsia="Times New Roman" w:cs="Times New Roman"/><w:color w:val="000000"/><w:sz w:val="16"/><w:szCs w:val="16"/><w:b w:val="0"/><w:bCs w:val="0"/></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b w:val="0"/><w:bCs w:val="0"/></w:rPr><w:t xml:space="preserve"> </w:t></w:r></w:p><w:p><w:pPr><w:jc w:val="start"/><w:ind w:left="0" w:right="0" w:firstLine="0" w:hanging="0"/><w:spacing w:before="0" w:after="0"/></w:pPr><w:r><w:rPr><w:rFonts w:ascii="Times New Roman" w:hAnsi="Times New Roman" w:eastAsia="Times New Roman" w:cs="Times New Roman"/><w:color w:val="000000"/><w:sz w:val="12"/><w:szCs w:val="12"/><w:b w:val="0"/><w:bCs w:val="0"/></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Large accelerated filer</w:t></w:r></w:p></w:tc><w:tc><w:tcPr><w:tcW w:w="0" w:type="pct"/><w:vAlign w:val="bottom"/><w:noWrap/></w:tcPr><w:p><w:pPr><w:jc w:val="start"/><w:ind w:left="0" w:right="0" w:firstLine="0" w:hanging="0"/><w:spacing w:before="0" w:after="0"/></w:pPr><w:r><w:rPr><w:rFonts w:ascii="'Segoe UI Symbol'" w:hAnsi="'Segoe UI Symbol'" w:eastAsia="'Segoe UI Symbol'" w:cs="'Segoe UI Symbol'"/><w:color w:val="000000"/><w:sz w:val="16"/><w:szCs w:val="16"/><w:b w:val="0"/><w:bCs w:val="0"/></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Accelerated filer</w:t></w:r></w:p></w:tc><w:tc><w:tcPr><w:tcW w:w="0" w:type="pct"/><w:vAlign w:val="bottom"/><w:noWrap/></w:tcPr><w:p><w:pPr><w:jc w:val="start"/><w:ind w:left="0" w:right="0" w:firstLine="0" w:hanging="0"/><w:spacing w:before="0" w:after="0"/></w:pPr><w:r><w:rPr><w:rFonts w:ascii="'Segoe UI Symbol'" w:hAnsi="'Segoe UI Symbol'" w:eastAsia="'Segoe UI Symbol'" w:cs="'Segoe UI Symbol'"/><w:color w:val="000000"/><w:sz w:val="16"/><w:szCs w:val="16"/><w:b w:val="0"/><w:bCs w:val="0"/></w:rPr><w:t xml:space="preserve">☒</w:t></w:r></w:p></w:tc></w:tr><w:tr><w:trPr/><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Non-accelerated filer</w:t></w:r></w:p></w:tc><w:tc><w:tcPr><w:tcW w:w="0" w:type="pct"/><w:vAlign w:val="bottom"/><w:noWrap/></w:tcPr><w:p><w:pPr><w:jc w:val="start"/><w:ind w:left="0" w:right="0" w:firstLine="0" w:hanging="0"/><w:spacing w:before="0" w:after="0"/></w:pPr><w:r><w:rPr><w:rFonts w:ascii="'Segoe UI Symbol'" w:hAnsi="'Segoe UI Symbol'" w:eastAsia="'Segoe UI Symbol'" w:cs="'Segoe UI Symbol'"/><w:color w:val="000000"/><w:sz w:val="16"/><w:szCs w:val="16"/><w:b w:val="0"/><w:bCs w:val="0"/></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Smaller reporting company</w:t></w:r></w:p></w:tc><w:tc><w:tcPr><w:tcW w:w="0" w:type="pct"/><w:vAlign w:val="bottom"/><w:noWrap/></w:tcPr><w:p><w:pPr><w:jc w:val="start"/><w:ind w:left="0" w:right="0" w:firstLine="0" w:hanging="0"/><w:spacing w:before="0" w:after="0"/></w:pPr><w:r><w:rPr><w:rFonts w:ascii="'Segoe UI Symbol'" w:hAnsi="'Segoe UI Symbol'" w:eastAsia="'Segoe UI Symbol'" w:cs="'Segoe UI Symbol'"/><w:color w:val="000000"/><w:sz w:val="16"/><w:szCs w:val="16"/><w:b w:val="0"/><w:bCs w:val="0"/></w:rPr><w:t xml:space="preserve">☐</w:t></w:r></w:p></w:tc></w:tr><w:tr><w:trPr/><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Emerging growth company</w:t></w:r></w:p></w:tc><w:tc><w:tcPr><w:tcW w:w="0" w:type="pct"/><w:vAlign w:val="bottom"/><w:noWrap/></w:tcPr><w:p><w:pPr><w:jc w:val="start"/><w:ind w:left="0" w:right="0" w:firstLine="0" w:hanging="0"/><w:spacing w:before="0" w:after="0"/></w:pPr><w:r><w:rPr><w:rFonts w:ascii="'Segoe UI Symbol'" w:hAnsi="'Segoe UI Symbol'" w:eastAsia="'Segoe UI Symbol'" w:cs="'Segoe UI Symbol'"/><w:color w:val="000000"/><w:sz w:val="16"/><w:szCs w:val="16"/><w:b w:val="0"/><w:bCs w:val="0"/></w:rPr><w:t xml:space="preserve">☐</w:t></w:r></w:p></w:tc></w:tr></w:tbl><w:p><w:pPr><w:jc w:val="start"/><w:ind w:left="0" w:right="0" w:firstLine="0" w:hanging="0"/><w:spacing w:before="40" w:after="0"/></w:pPr><w:r><w:rPr><w:rFonts w:ascii="Times New Roman" w:hAnsi="Times New Roman" w:eastAsia="Times New Roman" w:cs="Times New Roman"/><w:color w:val="000000"/><w:sz w:val="16"/><w:szCs w:val="16"/><w:b w:val="0"/><w:bCs w:val="0"/></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w:t></w:r></w:p><w:p><w:pPr><w:jc w:val="start"/><w:ind w:left="0" w:right="0" w:firstLine="0" w:hanging="0"/><w:spacing w:before="40" w:after="0"/></w:pPr><w:r><w:rPr><w:rFonts w:ascii="Times New Roman" w:hAnsi="Times New Roman" w:eastAsia="Times New Roman" w:cs="Times New Roman"/><w:color w:val="000000"/><w:sz w:val="16"/><w:szCs w:val="16"/><w:b w:val="0"/><w:bCs w:val="0"/></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No </w:t></w:r><w:r><w:rPr><w:rFonts w:ascii="'Segoe UI Symbol'" w:hAnsi="'Segoe UI Symbol'" w:eastAsia="'Segoe UI Symbol'" w:cs="'Segoe UI Symbol'"/><w:color w:val="000000"/><w:sz w:val="16"/><w:szCs w:val="16"/><w:b w:val="0"/><w:bCs w:val="0"/></w:rPr><w:t xml:space="preserve">☒</w:t></w:r><w:r><w:rPr><w:rFonts w:ascii="Times New Roman" w:hAnsi="Times New Roman" w:eastAsia="Times New Roman" w:cs="Times New Roman"/><w:color w:val="000000"/><w:sz w:val="16"/><w:szCs w:val="16"/><w:b w:val="0"/><w:bCs w:val="0"/></w:rPr><w:t xml:space="preserve"> </w:t></w:r></w:p><w:p><w:pPr><w:jc w:val="start"/><w:ind w:left="0" w:right="0" w:firstLine="0" w:hanging="0"/><w:spacing w:before="0" w:after="0"/></w:pPr><w:r><w:rPr><w:rFonts w:ascii="Times New Roman" w:hAnsi="Times New Roman" w:eastAsia="Times New Roman" w:cs="Times New Roman"/><w:color w:val="000000"/><w:sz w:val="8"/><w:szCs w:val="8"/><w:b w:val="0"/><w:bCs w:val="0"/></w:rPr><w:t xml:space="preserve"> </w:t></w:r></w:p><w:p><w:pPr><w:jc w:val="start"/><w:ind w:left="0" w:right="0" w:firstLine="0" w:hanging="0"/><w:spacing w:before="40" w:after="0"/></w:pPr><w:r><w:rPr><w:rFonts w:ascii="Times New Roman" w:hAnsi="Times New Roman" w:eastAsia="Times New Roman" w:cs="Times New Roman"/><w:color w:val="000000"/><w:sz w:val="16"/><w:szCs w:val="16"/><w:b w:val="0"/><w:bCs w:val="0"/></w:rPr><w:t xml:space="preserve">The number of shares of the registrant’s Class A common stock outstanding as of November 1, 2023 was </w:t></w:r><w:r><w:rPr><w:rFonts w:ascii="Times New Roman" w:hAnsi="Times New Roman" w:eastAsia="Times New Roman" w:cs="Times New Roman"/><w:color w:val="000000"/><w:sz w:val="16"/><w:szCs w:val="16"/><w:b w:val="0"/><w:bCs w:val="0"/></w:rPr><w:t xml:space="preserve">132,041,164</w:t></w:r><w:r><w:rPr><w:rFonts w:ascii="Times New Roman" w:hAnsi="Times New Roman" w:eastAsia="Times New Roman" w:cs="Times New Roman"/><w:color w:val="000000"/><w:sz w:val="16"/><w:szCs w:val="16"/><w:b w:val="0"/><w:bCs w:val="0"/></w:rPr><w:t xml:space="preserve">.</w:t></w:r><w:r><w:rPr><w:rFonts w:ascii="Times New Roman" w:hAnsi="Times New Roman" w:eastAsia="Times New Roman" w:cs="Times New Roman"/><w:color w:val="000000"/><w:sz w:val="16"/><w:szCs w:val="16"/><w:b w:val="0"/><w:bCs w:val="0"/></w:rPr><w:t xml:space="preserve"> </w:t></w:r></w:p><w:p><w:pPr><w:jc w:val="start"/><w:ind w:left="0" w:right="0" w:firstLine="0" w:hanging="0"/><w:spacing w:before="0" w:after="0"/></w:pPr><w:r><w:rPr><w:rFonts w:ascii="Times New Roman" w:hAnsi="Times New Roman" w:eastAsia="Times New Roman" w:cs="Times New Roman"/><w:sz w:val="8"/><w:szCs w:val="8"/></w:rPr><w:t xml:space="preserve"> </w:t></w:r></w:p><w:p><w:pPr><w:jc w:val="start"/><w:ind w:left="0" w:right="0" w:firstLine="0" w:hanging="0"/><w:spacing w:before="0" w:after="0"/></w:pPr><w:r><w:rPr><w:rFonts w:ascii="Times New Roman" w:hAnsi="Times New Roman" w:eastAsia="Times New Roman" w:cs="Times New Roman"/><w:sz w:val="12"/><w:szCs w:val="12"/></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For the Quarterly Period Ended September 30, 2023</w:t></w:r></w:p><w:p><w:pPr><w:jc w:val="center"/><w:ind w:left="0" w:right="0" w:firstLine="0" w:hanging="0"/><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ind w:left="0" w:right="0" w:firstLine="0" w:hanging="0"/><w:spacing w:before="0" w:after="0"/></w:pPr><w:r><w:rPr><w:rFonts w:ascii="Times New Roman" w:hAnsi="Times New Roman" w:eastAsia="Times New Roman" w:cs="Times New Roman"/><w:color w:val="000000"/><w:sz w:val="16"/><w:szCs w:val="16"/><w:b w:val="0"/><w:bCs w:val="0"/></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24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b w:val="0"/><w:bCs w:val="0"/></w:rPr><w:t xml:space="preserve"> </w:t></w:r></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4</w:t></w:r></w:p></w:tc></w:tr><w:tr><w:trPr><w:trHeight w:val="24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4</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4</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5</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Stockholders’ Equity</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6</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7</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22</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31</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31</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b w:val="0"/><w:bCs w:val="0"/></w:rPr><w:t xml:space="preserve"> </w:t></w:r></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32</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32</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33</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34</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34</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34</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34</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b w:val="0"/><w:bCs w:val="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35</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signatures" w:history="1"><w:r><w:rPr/><w:t xml:space="preserve">SIGNATURES</w:t></w:r></w:hyperlink><w:r><w:rPr><w:rFonts w:ascii="Times New Roman" w:hAnsi="Times New Roman" w:eastAsia="Times New Roman" w:cs="Times New Roman"/><w:color w:val="000000"/><w:sz w:val="20"/><w:szCs w:val="20"/><w:b w:val="0"/><w:bCs w:val="0"/></w:rPr><w:t xml:space="preserve"> </w:t></w:r></w:p></w:tc><w:tc><w:tcPr><w:tcW w:w="0" w:type="pct"/><w:vAlign w:val="bottom"/><w:noWrap/></w:tcPr><w:p><w:pPr><w:jc w:val="end"/><w:ind w:left="0" w:right="0" w:firstLine="0" w:hanging="0"/><w:spacing w:before="0" w:after="0"/></w:pPr><w:r><w:rPr><w:rFonts w:ascii="Times New Roman" w:hAnsi="Times New Roman" w:eastAsia="Times New Roman" w:cs="Times New Roman"/><w:color w:val="000000"/><w:sz w:val="20"/><w:szCs w:val="20"/><w:b w:val="0"/><w:bCs w:val="0"/></w:rPr><w:t xml:space="preserve">36</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2022.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w:szCs w:val="2"/><w:b w:val="0"/><w:bCs w:val="0"/></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ind w:left="0" w:right="0" w:firstLine="0" w:hanging="0"/><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(amounts in thousands, except share and per share data)</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3350" w:type="dxa"/><w:gridCol w:w="2900" w:type="dxa"/><w:gridCol w:w="50" w:type="dxa"/><w:gridCol w:w="4600" w:type="dxa"/><w:gridCol w:w="50" w:type="dxa"/><w:gridCol w:w="2900" w:type="dxa"/><w:gridCol w:w="50" w:type="dxa"/><w:gridCol w:w="4600" w:type="dxa"/><w:gridCol w:w="50" w:type="dxa"/></w:tblGrid><w:tblPr><w:tblW w:w="0" w:type="pct"/><w:tblLayout w:type="autofit"/></w:tblPr><w:tr><w:trPr/><w:tc><w:tcPr><w:tcW w:w="3350" w:type="pct"/><w:noWrap/></w:tcPr><w:p><w:pPr/></w:p></w:tc><w:tc><w:tcPr><w:tcW w:w="2900" w:type="pct"/><w:noWrap/></w:tcPr><w:p><w:pPr/></w:p></w:tc><w:tc><w:tcPr><w:tcW w:w="50" w:type="pct"/><w:noWrap/></w:tcPr><w:p><w:pPr/></w:p></w:tc><w:tc><w:tcPr><w:tcW w:w="4600" w:type="pct"/><w:noWrap/></w:tcPr><w:p><w:pPr/></w:p></w:tc><w:tc><w:tcPr><w:tcW w:w="50" w:type="pct"/><w:noWrap/></w:tcPr><w:p><w:pPr/></w:p></w:tc><w:tc><w:tcPr><w:tcW w:w="2900" w:type="pct"/><w:noWrap/></w:tcPr><w:p><w:pPr/></w:p></w:tc><w:tc><w:tcPr><w:tcW w:w="50" w:type="pct"/><w:noWrap/></w:tcPr><w:p><w:pPr/></w:p></w:tc><w:tc><w:tcPr><w:tcW w:w="4600" w:type="pct"/><w:noWrap/></w:tcPr><w:p><w:pPr/></w:p></w:tc><w:tc><w:tcPr><w:tcW w:w="50" w:type="pct"/><w:noWrap/></w:tcPr><w:p><w:pP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5"/><w:szCs w:val="15"/><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5"/><w:szCs w:val="15"/><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5"/><w:szCs w:val="15"/><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5"/><w:szCs w:val="15"/><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5"/><w:szCs w:val="15"/><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5"/><w:szCs w:val="15"/><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5"/><w:szCs w:val="15"/><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1"/><w:bCs w:val="1"/><w:shd w:val="clear" w:fill="cff0fc"/></w:rPr><w:t xml:space="preserve">Assets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Current assets: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Cash and cash equivalents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98,226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102,478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Restricted cash</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599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812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Accounts receivable,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89,276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89,450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Inventory, net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27,905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24,783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Prepaid expenses and other current assets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9,567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5,086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Total current assets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225,573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222,609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Property and equipment,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117,503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102,463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Intangible assets, net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17,101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20,789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Goodwill</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28,772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28,772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Operating lease right-of-use assets, net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42,363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43,192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Deferred tax asset,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30,014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30,014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Other assets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1,321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1,520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Total assets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462,647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449,359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1"/><w:bCs w:val="1"/><w:shd w:val="clear" w:fill="ffffff"/></w:rPr><w:t xml:space="preserve">Liabilities and Stockholders’ Equity</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Current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Current portion of term loan, net of debt issuance costs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5,483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4,538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Current portion of finance lease obligations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1,174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Current portion of operating lease obligations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13,048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11,708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Accounts payable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26,784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32,330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Accrued expenses and other current liabilities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34,993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26,447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Total current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81,482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75,023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Term loan, net of current portion and debt issuance costs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62,117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66,231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Finance lease obligations, net of current portion</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2,166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Operating lease obligations, net of current portion</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38,826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41,314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Other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1,191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1,122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Total liabilities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185,782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183,690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Commitments and contingencies (Note 18)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Stockholders’ equity:</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Preferred stock, $</w:t></w:r><w:r><w:rPr><w:rFonts w:ascii="Times New Roman" w:hAnsi="Times New Roman" w:eastAsia="Times New Roman" w:cs="Times New Roman"/><w:color w:val="000000"/><w:sz w:val="18"/><w:szCs w:val="18"/><w:b w:val="0"/><w:bCs w:val="0"/><w:shd w:val="clear" w:fill="cff0fc"/></w:rPr><w:t xml:space="preserve">0.0001</w:t></w:r><w:r><w:rPr><w:rFonts w:ascii="Times New Roman" w:hAnsi="Times New Roman" w:eastAsia="Times New Roman" w:cs="Times New Roman"/><w:color w:val="000000"/><w:sz w:val="18"/><w:szCs w:val="18"/><w:b w:val="0"/><w:bCs w:val="0"/><w:shd w:val="clear" w:fill="cff0fc"/></w:rPr><w:t xml:space="preserve"> par value; </w:t></w:r><w:r><w:rPr><w:rFonts w:ascii="Times New Roman" w:hAnsi="Times New Roman" w:eastAsia="Times New Roman" w:cs="Times New Roman"/><w:color w:val="000000"/><w:sz w:val="18"/><w:szCs w:val="18"/><w:b w:val="0"/><w:bCs w:val="0"/><w:shd w:val="clear" w:fill="cff0fc"/></w:rPr><w:t xml:space="preserve">1,000,000</w:t></w:r><w:r><w:rPr><w:rFonts w:ascii="Times New Roman" w:hAnsi="Times New Roman" w:eastAsia="Times New Roman" w:cs="Times New Roman"/><w:color w:val="000000"/><w:sz w:val="18"/><w:szCs w:val="18"/><w:b w:val="0"/><w:bCs w:val="0"/><w:shd w:val="clear" w:fill="cff0fc"/></w:rPr><w:t xml:space="preserve"> shares authorized; </w:t></w:r><w:r><w:rPr><w:rFonts w:ascii="Times New Roman" w:hAnsi="Times New Roman" w:eastAsia="Times New Roman" w:cs="Times New Roman"/><w:color w:val="000000"/><w:sz w:val="18"/><w:szCs w:val="18"/><w:b w:val="0"/><w:bCs w:val="0"/><w:shd w:val="clear" w:fill="cff0fc"/></w:rPr><w:t xml:space="preserve">none</w:t></w:r><w:r><w:rPr><w:rFonts w:ascii="Times New Roman" w:hAnsi="Times New Roman" w:eastAsia="Times New Roman" w:cs="Times New Roman"/><w:color w:val="000000"/><w:sz w:val="18"/><w:szCs w:val="18"/><w:b w:val="0"/><w:bCs w:val="0"/><w:shd w:val="clear" w:fill="cff0fc"/></w:rPr><w:t xml:space="preserve"> issued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Common stock, $</w:t></w:r><w:r><w:rPr><w:rFonts w:ascii="Times New Roman" w:hAnsi="Times New Roman" w:eastAsia="Times New Roman" w:cs="Times New Roman"/><w:color w:val="000000"/><w:sz w:val="18"/><w:szCs w:val="18"/><w:b w:val="0"/><w:bCs w:val="0"/><w:shd w:val="clear" w:fill="ffffff"/></w:rPr><w:t xml:space="preserve">0.0001</w:t></w:r><w:r><w:rPr><w:rFonts w:ascii="Times New Roman" w:hAnsi="Times New Roman" w:eastAsia="Times New Roman" w:cs="Times New Roman"/><w:color w:val="000000"/><w:sz w:val="18"/><w:szCs w:val="18"/><w:b w:val="0"/><w:bCs w:val="0"/><w:shd w:val="clear" w:fill="ffffff"/></w:rPr><w:t xml:space="preserve"> par value; </w:t></w:r><w:r><w:rPr><w:rFonts w:ascii="Times New Roman" w:hAnsi="Times New Roman" w:eastAsia="Times New Roman" w:cs="Times New Roman"/><w:color w:val="000000"/><w:sz w:val="18"/><w:szCs w:val="18"/><w:b w:val="0"/><w:bCs w:val="0"/><w:shd w:val="clear" w:fill="ffffff"/></w:rPr><w:t xml:space="preserve">400,000,000</w:t></w:r><w:r><w:rPr><w:rFonts w:ascii="Times New Roman" w:hAnsi="Times New Roman" w:eastAsia="Times New Roman" w:cs="Times New Roman"/><w:color w:val="000000"/><w:sz w:val="18"/><w:szCs w:val="18"/><w:b w:val="0"/><w:bCs w:val="0"/><w:shd w:val="clear" w:fill="ffffff"/></w:rPr><w:t xml:space="preserve"> shares authorized; </w:t></w:r><w:r><w:rPr><w:rFonts w:ascii="Times New Roman" w:hAnsi="Times New Roman" w:eastAsia="Times New Roman" w:cs="Times New Roman"/><w:color w:val="000000"/><w:sz w:val="18"/><w:szCs w:val="18"/><w:b w:val="0"/><w:bCs w:val="0"/><w:shd w:val="clear" w:fill="ffffff"/></w:rPr><w:t xml:space="preserve">132,041,164</w:t></w:r><w:r><w:rPr><w:rFonts w:ascii="Times New Roman" w:hAnsi="Times New Roman" w:eastAsia="Times New Roman" w:cs="Times New Roman"/><w:color w:val="000000"/><w:sz w:val="18"/><w:szCs w:val="18"/><w:b w:val="0"/><w:bCs w:val="0"/><w:shd w:val="clear" w:fill="ffffff"/></w:rPr><w:t xml:space="preserve"> and </w:t></w:r><w:r><w:rPr><w:rFonts w:ascii="Times New Roman" w:hAnsi="Times New Roman" w:eastAsia="Times New Roman" w:cs="Times New Roman"/><w:color w:val="000000"/><w:sz w:val="18"/><w:szCs w:val="18"/><w:b w:val="0"/><w:bCs w:val="0"/><w:shd w:val="clear" w:fill="ffffff"/></w:rPr><w:t xml:space="preserve">131,647,677</w:t></w:r><w:r><w:rPr><w:rFonts w:ascii="Times New Roman" w:hAnsi="Times New Roman" w:eastAsia="Times New Roman" w:cs="Times New Roman"/><w:color w:val="000000"/><w:sz w:val="18"/><w:szCs w:val="18"/><w:b w:val="0"/><w:bCs w:val="0"/><w:shd w:val="clear" w:fill="ffffff"/></w:rPr><w:t xml:space="preserve"> shares issued; </w:t></w:r><w:r><w:rPr><w:rFonts w:ascii="Times New Roman" w:hAnsi="Times New Roman" w:eastAsia="Times New Roman" w:cs="Times New Roman"/><w:color w:val="000000"/><w:sz w:val="18"/><w:szCs w:val="18"/><w:b w:val="0"/><w:bCs w:val="0"/><w:shd w:val="clear" w:fill="ffffff"/></w:rPr><w:t xml:space="preserve">131,312,616</w:t></w:r><w:r><w:rPr><w:rFonts w:ascii="Times New Roman" w:hAnsi="Times New Roman" w:eastAsia="Times New Roman" w:cs="Times New Roman"/><w:color w:val="000000"/><w:sz w:val="18"/><w:szCs w:val="18"/><w:b w:val="0"/><w:bCs w:val="0"/><w:shd w:val="clear" w:fill="ffffff"/></w:rPr><w:t xml:space="preserve"> and </w:t></w:r><w:r><w:rPr><w:rFonts w:ascii="Times New Roman" w:hAnsi="Times New Roman" w:eastAsia="Times New Roman" w:cs="Times New Roman"/><w:color w:val="000000"/><w:sz w:val="18"/><w:szCs w:val="18"/><w:b w:val="0"/><w:bCs w:val="0"/><w:shd w:val="clear" w:fill="ffffff"/></w:rPr><w:t xml:space="preserve">130,919,129</w:t></w:r><w:r><w:rPr><w:rFonts w:ascii="Times New Roman" w:hAnsi="Times New Roman" w:eastAsia="Times New Roman" w:cs="Times New Roman"/><w:color w:val="000000"/><w:sz w:val="18"/><w:szCs w:val="18"/><w:b w:val="0"/><w:bCs w:val="0"/><w:shd w:val="clear" w:fill="ffffff"/></w:rPr><w:t xml:space="preserve"> shares outstanding at September 30, 2023 and December 31, 2022, respectively.</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Additional paid-in capital</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317,254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310,957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Accumulated deficit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r><w:rPr><w:rFonts w:ascii="Times New Roman" w:hAnsi="Times New Roman" w:eastAsia="Times New Roman" w:cs="Times New Roman"/><w:color w:val="000000"/><w:sz w:val="18"/><w:szCs w:val="18"/><w:b w:val="0"/><w:bCs w:val="0"/><w:shd w:val="clear" w:fill="ffffff"/></w:rPr><w:t xml:space="preserve">40,402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r><w:rPr><w:rFonts w:ascii="Times New Roman" w:hAnsi="Times New Roman" w:eastAsia="Times New Roman" w:cs="Times New Roman"/><w:color w:val="000000"/><w:sz w:val="18"/><w:szCs w:val="18"/><w:b w:val="0"/><w:bCs w:val="0"/><w:shd w:val="clear" w:fill="ffffff"/></w:rPr><w:t xml:space="preserve">45,301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r><w:tr><w:trPr><w:trHeight w:val="18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Total stockholders’ equity</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276,865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265,669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Total liabilities and stockholders’ equity</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462,647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449,359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0"/><w:bCs w:val="0"/></w:rPr><w:t xml:space="preserve">The accompanying notes are an integral part of these unaudited condensed consolidated financial statements.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ORGANOGENESIS HOLDINGS INC.</w:t></w:r></w:p><w:p><w:pPr><w:jc w:val="center"/><w:ind w:left="0" w:right="0" w:firstLine="0" w:hanging="0"/><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(amounts in thousands, except share and per share data)</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3900" w:type="dxa"/><w:gridCol w:w="9150" w:type="dxa"/><w:gridCol w:w="50" w:type="dxa"/><w:gridCol w:w="27349999999999950" w:type="dxa"/><w:gridCol w:w="50" w:type="dxa"/><w:gridCol w:w="9150" w:type="dxa"/><w:gridCol w:w="50" w:type="dxa"/><w:gridCol w:w="27349999999999950" w:type="dxa"/><w:gridCol w:w="50" w:type="dxa"/><w:gridCol w:w="9150" w:type="dxa"/><w:gridCol w:w="50" w:type="dxa"/><w:gridCol w:w="27349999999999950" w:type="dxa"/><w:gridCol w:w="50" w:type="dxa"/><w:gridCol w:w="9150" w:type="dxa"/><w:gridCol w:w="50" w:type="dxa"/><w:gridCol w:w="27349999999999950" w:type="dxa"/><w:gridCol w:w="50" w:type="dxa"/></w:tblGrid><w:tblPr><w:tblW w:w="0" w:type="pct"/><w:tblLayout w:type="autofit"/></w:tblPr><w:tr><w:trPr/><w:tc><w:tcPr><w:tcW w:w="3900" w:type="pct"/><w:noWrap/></w:tcPr><w:p><w:pPr/></w:p></w:tc><w:tc><w:tcPr><w:tcW w:w="9150" w:type="pct"/><w:noWrap/></w:tcPr><w:p><w:pPr/></w:p></w:tc><w:tc><w:tcPr><w:tcW w:w="50" w:type="pct"/><w:noWrap/></w:tcPr><w:p><w:pPr/></w:p></w:tc><w:tc><w:tcPr><w:tcW w:w="27349999999999950" w:type="pct"/><w:noWrap/></w:tcPr><w:p><w:pPr/></w:p></w:tc><w:tc><w:tcPr><w:tcW w:w="50" w:type="pct"/><w:noWrap/></w:tcPr><w:p><w:pPr/></w:p></w:tc><w:tc><w:tcPr><w:tcW w:w="9150" w:type="pct"/><w:noWrap/></w:tcPr><w:p><w:pPr/></w:p></w:tc><w:tc><w:tcPr><w:tcW w:w="50" w:type="pct"/><w:noWrap/></w:tcPr><w:p><w:pPr/></w:p></w:tc><w:tc><w:tcPr><w:tcW w:w="27349999999999950" w:type="pct"/><w:noWrap/></w:tcPr><w:p><w:pPr/></w:p></w:tc><w:tc><w:tcPr><w:tcW w:w="50" w:type="pct"/><w:noWrap/></w:tcPr><w:p><w:pPr/></w:p></w:tc><w:tc><w:tcPr><w:tcW w:w="9150" w:type="pct"/><w:noWrap/></w:tcPr><w:p><w:pPr/></w:p></w:tc><w:tc><w:tcPr><w:tcW w:w="50" w:type="pct"/><w:noWrap/></w:tcPr><w:p><w:pPr/></w:p></w:tc><w:tc><w:tcPr><w:tcW w:w="27349999999999950" w:type="pct"/><w:noWrap/></w:tcPr><w:p><w:pPr/></w:p></w:tc><w:tc><w:tcPr><w:tcW w:w="50" w:type="pct"/><w:noWrap/></w:tcPr><w:p><w:pPr/></w:p></w:tc><w:tc><w:tcPr><w:tcW w:w="9150" w:type="pct"/><w:noWrap/></w:tcPr><w:p><w:pPr/></w:p></w:tc><w:tc><w:tcPr><w:tcW w:w="50" w:type="pct"/><w:noWrap/></w:tcPr><w:p><w:pPr/></w:p></w:tc><w:tc><w:tcPr><w:tcW w:w="273499999999999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revenue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108,531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116,859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333,489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335,377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Cost of goods sold</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25,789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26,177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78,712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77,909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Gross profit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82,742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90,682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254,777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257,468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Operating expenses: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Selling, general and administrative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64,222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79,328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208,373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215,515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Research and development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10,470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9,575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32,610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28,367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operating expenses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74,692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88,903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240,983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243,882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Income from operations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8,050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1,779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13,794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13,586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Other expense, net: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w:szCs w:val="2"/><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Interest expense, net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444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572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1,688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2,039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Other income (expense), net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19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Total other expense, net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413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567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1,606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2,058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income before income taxes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7,637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1,212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12,188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11,528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Income tax expense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4,470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997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6,675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3,482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income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3,167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215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5,513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8,046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Net income, per share: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Basic</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Diluted</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Weighted-average common shares outstanding</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Basic</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131,312,483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130,903,160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131,230,882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129,784,890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Diluted</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133,417,721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132,232,954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132,790,296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132,555,265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0"/><w:bCs w:val="0"/></w:rPr><w:t xml:space="preserve">The accompanying notes are an integral part of these unaudited condensed consolidated financial statements.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w:szCs w:val="2"/><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STOCKHOLDERS’ EQUITY</w:t></w:r></w:p><w:p><w:pPr><w:jc w:val="center"/><w:ind w:left="0" w:right="0" w:firstLine="0" w:hanging="0"/><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(amounts in thousands, except share data)</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4900" w:type="dxa"/><w:gridCol w:w="50" w:type="dxa"/><w:gridCol w:w="50" w:type="dxa"/><w:gridCol w:w="2100" w:type="dxa"/><w:gridCol w:w="50" w:type="dxa"/><w:gridCol w:w="1300" w:type="dxa"/><w:gridCol w:w="50" w:type="dxa"/><w:gridCol w:w="3300" w:type="dxa"/><w:gridCol w:w="50" w:type="dxa"/><w:gridCol w:w="1300" w:type="dxa"/><w:gridCol w:w="50" w:type="dxa"/><w:gridCol w:w="3300" w:type="dxa"/><w:gridCol w:w="50" w:type="dxa"/><w:gridCol w:w="1300" w:type="dxa"/><w:gridCol w:w="50" w:type="dxa"/><w:gridCol w:w="4200" w:type="dxa"/><w:gridCol w:w="50" w:type="dxa"/><w:gridCol w:w="1300" w:type="dxa"/><w:gridCol w:w="50" w:type="dxa"/><w:gridCol w:w="200" w:type="dxa"/><w:gridCol w:w="50" w:type="dxa"/></w:tblGrid><w:tblPr><w:tblW w:w="0" w:type="pct"/><w:tblLayout w:type="autofit"/></w:tblPr><w:tr><w:trPr/><w:tc><w:tcPr><w:tcW w:w="4900" w:type="pct"/><w:noWrap/></w:tcPr><w:p><w:pPr/></w:p></w:tc><w:tc><w:tcPr><w:tcW w:w="50" w:type="pct"/><w:noWrap/></w:tcPr><w:p><w:pPr/></w:p></w:tc><w:tc><w:tcPr><w:tcW w:w="50" w:type="pct"/><w:noWrap/></w:tcPr><w:p><w:pPr/></w:p></w:tc><w:tc><w:tcPr><w:tcW w:w="2100" w:type="pct"/><w:noWrap/></w:tcPr><w:p><w:pPr/></w:p></w:tc><w:tc><w:tcPr><w:tcW w:w="50" w:type="pct"/><w:noWrap/></w:tcPr><w:p><w:pPr/></w:p></w:tc><w:tc><w:tcPr><w:tcW w:w="1300" w:type="pct"/><w:noWrap/></w:tcPr><w:p><w:pPr/></w:p></w:tc><w:tc><w:tcPr><w:tcW w:w="50" w:type="pct"/><w:noWrap/></w:tcPr><w:p><w:pPr/></w:p></w:tc><w:tc><w:tcPr><w:tcW w:w="3300" w:type="pct"/><w:noWrap/></w:tcPr><w:p><w:pPr/></w:p></w:tc><w:tc><w:tcPr><w:tcW w:w="50" w:type="pct"/><w:noWrap/></w:tcPr><w:p><w:pPr/></w:p></w:tc><w:tc><w:tcPr><w:tcW w:w="1300" w:type="pct"/><w:noWrap/></w:tcPr><w:p><w:pPr/></w:p></w:tc><w:tc><w:tcPr><w:tcW w:w="50" w:type="pct"/><w:noWrap/></w:tcPr><w:p><w:pPr/></w:p></w:tc><w:tc><w:tcPr><w:tcW w:w="3300" w:type="pct"/><w:noWrap/></w:tcPr><w:p><w:pPr/></w:p></w:tc><w:tc><w:tcPr><w:tcW w:w="50" w:type="pct"/><w:noWrap/></w:tcPr><w:p><w:pPr/></w:p></w:tc><w:tc><w:tcPr><w:tcW w:w="1300" w:type="pct"/><w:noWrap/></w:tcPr><w:p><w:pPr/></w:p></w:tc><w:tc><w:tcPr><w:tcW w:w="50" w:type="pct"/><w:noWrap/></w:tcPr><w:p><w:pPr/></w:p></w:tc><w:tc><w:tcPr><w:tcW w:w="4200" w:type="pct"/><w:noWrap/></w:tcPr><w:p><w:pPr/></w:p></w:tc><w:tc><w:tcPr><w:tcW w:w="50" w:type="pct"/><w:noWrap/></w:tcPr><w:p><w:pPr/></w:p></w:tc><w:tc><w:tcPr><w:tcW w:w="1300" w:type="pct"/><w:noWrap/></w:tcPr><w:p><w:pPr/></w:p></w:tc><w:tc><w:tcPr><w:tcW w:w="50" w:type="pct"/><w:noWrap/></w:tcPr><w:p><w:pPr/></w:p></w:tc><w:tc><w:tcPr><w:tcW w:w="200" w:type="pct"/><w:noWrap/></w:tcPr><w:p><w:pPr/></w:p></w:tc><w:tc><w:tcPr><w:tcW w:w="50" w:type="pct"/><w:noWrap/></w:tcPr><w:p><w:pP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18"/><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Three and Nine Months Ended September 30, 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Additional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Common Stock</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Paid-in</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Accumulated</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Total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Shares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Amount</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Capital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Deficit</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Stockholders’ Equity</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June 30, 2023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131,311,852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314,838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43,569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271,282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Vesting of RSUs, net of shares surrendered to pay taxes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764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Stock-based compensation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2,417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2,417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Net income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3,167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3,167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September 30, 2023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131,312,616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317,254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40,402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276,865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December 31, 2022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130,919,129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310,957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45,301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265,669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Cumulative effect of adopting new accounting principle </w:t></w:r><w:r><w:rPr><w:rFonts w:ascii="Times New Roman" w:hAnsi="Times New Roman" w:eastAsia="Times New Roman" w:cs="Times New Roman"/><w:color w:val="000000"/><w:sz w:val="16"/><w:szCs w:val="16"/><w:b w:val="0"/><w:bCs w:val="0"/><w:shd w:val="clear" w:fill="ffffff"/></w:rPr><w:t xml:space="preserve">ASU 2016-13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615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615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Vesting of RSUs, net of shares surrendered to pay taxes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393,487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333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333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Stock-based compensation expense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6,630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6,630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Net income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5,513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5,513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1"/><w:bCs w:val="1"/><w:shd w:val="clear" w:fill="ffffff"/></w:rPr><w:t xml:space="preserve">Balance as of September 30, 2023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131,312,616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317,254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40,402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276,865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2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r><w:tr><w:trPr><w:trHeight w:val="12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2"/><w:szCs w:val="12"/><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r><w:tr><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2"/><w:szCs w:val="12"/><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18"/><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Three and Nine Months Ended September 30, 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Additional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Common Stock</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Paid-in</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Accumulated</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Total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4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Shares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Amount</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Capital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Deficit</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4"/><w:szCs w:val="14"/><w:b w:val="1"/><w:bCs w:val="1"/><w:shd w:val="clear" w:fill="ffffff"/></w:rPr><w:t xml:space="preserve">Stockholders’ Equity</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4"/><w:szCs w:val="14"/><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June 30, 2022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130,885,369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307,374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53,002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254,385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Exercise of stock options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19,064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Vesting of RSUs, net of shares surrendered to pay taxes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10,666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Issuance of common stock associated with business acquisition</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Stock-based compensation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1,702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1,702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Net loss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215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215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September 30, 2022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130,915,099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309,102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52,787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256,328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December 31, 2021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128,680,192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302,155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60,833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241,335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Exercise of stock options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1,864,961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2,070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2,070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Vesting of RSUs, net of shares surrendered to pay taxes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166,461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648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648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Issuance of common stock associated with business acquisition</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203,485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828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828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Stock-based compensation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4,697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4,697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Net income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8,046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8,046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Balance as of September 30, 2022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130,915,099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309,102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52,787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256,328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0"/><w:bCs w:val="0"/></w:rPr><w:t xml:space="preserve">The accompanying notes are an integral part of these unaudited condensed consolidated financial statements.</w:t></w:r></w:p><w:p><w:pPr><w:jc w:val="center"/><w:ind w:left="0" w:right="0" w:firstLine="0" w:hanging="0"/><w:spacing w:before="240" w:after="0"/></w:pPr><w:r><w:rPr><w:rFonts w:ascii="Times New Roman" w:hAnsi="Times New Roman" w:eastAsia="Times New Roman" w:cs="Times New Roman"/><w:color w:val="000000"/><w:sz w:val="20"/><w:szCs w:val="20"/><w:b w:val="0"/><w:bCs w:val="0"/></w:rPr><w:t xml:space="preserve">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ORGANOGENESIS HOLDINGS INC.</w:t></w:r></w:p><w:p><w:pPr><w:jc w:val="center"/><w:ind w:left="0" w:right="0" w:firstLine="0" w:hanging="0"/><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(amounts in thousands)</w:t></w:r><w:r><w:rPr><w:rFonts w:ascii="Times New Roman" w:hAnsi="Times New Roman" w:eastAsia="Times New Roman" w:cs="Times New Roman"/><w:color w:val="000000"/><w:sz w:val="20"/><w:szCs w:val="20"/><w:b w:val="1"/><w:b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400" w:type="dxa"/><w:gridCol w:w="1900" w:type="dxa"/><w:gridCol w:w="50" w:type="dxa"/><w:gridCol w:w="1100" w:type="dxa"/><w:gridCol w:w="50" w:type="dxa"/><w:gridCol w:w="1900" w:type="dxa"/><w:gridCol w:w="50" w:type="dxa"/><w:gridCol w:w="1100" w:type="dxa"/><w:gridCol w:w="50" w:type="dxa"/></w:tblGrid><w:tblPr><w:tblW w:w="0" w:type="pct"/><w:tblLayout w:type="autofit"/></w:tblPr><w:tr><w:trPr/><w:tc><w:tcPr><w:tcW w:w="400" w:type="pct"/><w:noWrap/></w:tcPr><w:p><w:pPr/></w:p></w:tc><w:tc><w:tcPr><w:tcW w:w="1900" w:type="pct"/><w:noWrap/></w:tcPr><w:p><w:pPr/></w:p></w:tc><w:tc><w:tcPr><w:tcW w:w="50" w:type="pct"/><w:noWrap/></w:tcPr><w:p><w:pPr/></w:p></w:tc><w:tc><w:tcPr><w:tcW w:w="1100" w:type="pct"/><w:noWrap/></w:tcPr><w:p><w:pPr/></w:p></w:tc><w:tc><w:tcPr><w:tcW w:w="50" w:type="pct"/><w:noWrap/></w:tcPr><w:p><w:pPr/></w:p></w:tc><w:tc><w:tcPr><w:tcW w:w="1900" w:type="pct"/><w:noWrap/></w:tcPr><w:p><w:pPr/></w:p></w:tc><w:tc><w:tcPr><w:tcW w:w="50" w:type="pct"/><w:noWrap/></w:tcPr><w:p><w:pPr/></w:p></w:tc><w:tc><w:tcPr><w:tcW w:w="1100" w:type="pct"/><w:noWrap/></w:tcPr><w:p><w:pPr/></w:p></w:tc><w:tc><w:tcPr><w:tcW w:w="50" w:type="pct"/><w:noWrap/></w:tcPr><w:p><w:pP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Net Income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5,513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8,046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Adjustments to reconcile net income to net cash provided by operating activities: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Depreciation</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7,466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4,331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Amortization of intangible assets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3,689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3,662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Reduction in the carrying value of right-of-use assets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5,964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5,483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Non-cash interest expense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321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326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Deferred interest expense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367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428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Provision recorded for credit losses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1,320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855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Loss on disposal of property and equipment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104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4,412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Adjustment for excess and obsolete inventories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4,351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7,621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Stock-based compensation</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6,630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4,697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Changes in operating assets and liabilities: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Accounts receivable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1,761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11,510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Inventory</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7,473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7,282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Prepaid expenses and other current assets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4,491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Operating leases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6,282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5,250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Accounts payable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3,661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5,261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Accrued expenses and other current liabilities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8,179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4,061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Other liabilities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68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39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Net cash provided by operating activities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20,304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17,059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1"/><w:bCs w:val="1"/><w:shd w:val="clear" w:fill="ffffff"/></w:rPr><w:t xml:space="preserve">Cash flows from investing activities: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Purchases of property and equipment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21,040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23,242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Net cash used in investing activities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21,040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23,242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Cash flows from financing activities: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Payments of term loan under the 2021 Credit Agreement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3,281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938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Payments of withholding taxes in connection with RSUs vesting</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333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648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Proceeds from the exercise of stock options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2,070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Principal repayments of finance lease obligations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114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200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Payment of deferred acquisition consideration</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608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Net cash used in financing activities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3,728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r><w:rPr><w:rFonts w:ascii="Times New Roman" w:hAnsi="Times New Roman" w:eastAsia="Times New Roman" w:cs="Times New Roman"/><w:color w:val="000000"/><w:sz w:val="16"/><w:szCs w:val="16"/><w:b w:val="0"/><w:bCs w:val="0"/><w:shd w:val="clear" w:fill="cff0fc"/></w:rPr><w:t xml:space="preserve">324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4,465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r><w:rPr><w:rFonts w:ascii="Times New Roman" w:hAnsi="Times New Roman" w:eastAsia="Times New Roman" w:cs="Times New Roman"/><w:color w:val="000000"/><w:sz w:val="16"/><w:szCs w:val="16"/><w:b w:val="0"/><w:bCs w:val="0"/><w:shd w:val="clear" w:fill="ffffff"/></w:rPr><w:t xml:space="preserve">6,507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Cash, cash equivalents, and restricted cash, beginning of period</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103,290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114,528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Cash, cash equivalents, and restricted cash, end of period</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98,825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108,021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1"/><w:bCs w:val="1"/><w:shd w:val="clear" w:fill="cff0fc"/></w:rPr><w:t xml:space="preserve">Supplemental disclosure of cash flow information:</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Cash paid for interest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top"/><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3,896</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top"/><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1,787</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Cash paid for income taxes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3,021</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974</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1"/><w:bCs w:val="1"/><w:shd w:val="clear" w:fill="ffffff"/></w:rPr><w:t xml:space="preserve">Supplemental disclosure of non-cash investing and financing activities: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Purchases of property and equipment included in accounts payable and accrued expenses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4,146</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5,547</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Right-of-use assets obtained through lease obligations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top"/><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5,138</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b w:val="0"/><w:bCs w:val="0"/><w:shd w:val="clear" w:fill="ffffff"/></w:rPr><w:t xml:space="preserve">$</w:t></w:r></w:p></w:tc><w:tc><w:tcPr><w:tcW w:w="0" w:type="pct"/><w:vAlign w:val="top"/><w:shd w:val="clear" w:fill="ffffff"/><w:noWrap/></w:tcPr><w:p><w:pPr><w:jc w:val="end"/><w:ind w:left="0" w:right="0" w:firstLine="0" w:hanging="0"/><w:spacing w:before="0" w:after="0"/></w:pPr><w:r><w:rPr><w:rFonts w:ascii="Times New Roman" w:hAnsi="Times New Roman" w:eastAsia="Times New Roman" w:cs="Times New Roman"/><w:color w:val="000000"/><w:sz w:val="16"/><w:szCs w:val="16"/><w:b w:val="0"/><w:bCs w:val="0"/><w:shd w:val="clear" w:fill="ffffff"/></w:rPr><w:t xml:space="preserve">1,708</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Shares issued for deferred acquisition consideration</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b w:val="0"/><w:bCs w:val="0"/><w:shd w:val="clear" w:fill="cff0fc"/></w:rPr><w:t xml:space="preserve">$</w:t></w:r></w:p></w:tc><w:tc><w:tcPr><w:tcW w:w="0" w:type="pct"/><w:vAlign w:val="top"/><w:shd w:val="clear" w:fill="cff0fc"/><w:noWrap/></w:tcPr><w:p><w:pPr><w:jc w:val="end"/><w:ind w:left="0" w:right="0" w:firstLine="0" w:hanging="0"/><w:spacing w:before="0" w:after="0"/></w:pPr><w:r><w:rPr><w:rFonts w:ascii="Times New Roman" w:hAnsi="Times New Roman" w:eastAsia="Times New Roman" w:cs="Times New Roman"/><w:color w:val="000000"/><w:sz w:val="16"/><w:szCs w:val="16"/><w:b w:val="0"/><w:bCs w:val="0"/><w:shd w:val="clear" w:fill="cff0fc"/></w:rPr><w:t xml:space="preserve">828</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r></w:tbl><w:p><w:pPr><w:jc w:val="start"/><w:ind w:left="0" w:right="0" w:firstLine="0" w:hanging="0"/><w:spacing w:before="120" w:after="0"/></w:pPr><w:r><w:rPr><w:rFonts w:ascii="Times New Roman" w:hAnsi="Times New Roman" w:eastAsia="Times New Roman" w:cs="Times New Roman"/><w:color w:val="000000"/><w:sz w:val="20"/><w:szCs w:val="20"/><w:b w:val="0"/><w:bCs w:val="0"/></w:rPr><w:t xml:space="preserve">                             The accompanying notes are an integral part of these unaudited condensed consolidated financial statements.</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color w:val="000000"/><w:sz w:val="2"/><w:szCs w:val="2"/><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ORGANOGENESIS HOLDINGS INC.</w:t></w:r></w:p><w:p><w:pPr><w:jc w:val="center"/><w:ind w:left="0" w:right="0" w:firstLine="0" w:hanging="0"/><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(amounts in thousands, except share and per share data)</w:t></w:r></w:p><w:p><w:pPr><w:jc w:val="start"/><w:ind w:left="0" w:right="0" w:firstLine="0" w:hanging="0"/><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b w:val="0"/><w:bCs w:val="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service centers (“ASCs”) and physician offices. The Company has </w:t></w:r><w:r><w:rPr><w:rFonts w:ascii="Times New Roman" w:hAnsi="Times New Roman" w:eastAsia="Times New Roman" w:cs="Times New Roman"/><w:color w:val="000000"/><w:sz w:val="20"/><w:szCs w:val="20"/><w:b w:val="0"/><w:bCs w:val="0"/></w:rPr><w:t xml:space="preserve">one</w:t></w:r><w:r><w:rPr><w:rFonts w:ascii="Times New Roman" w:hAnsi="Times New Roman" w:eastAsia="Times New Roman" w:cs="Times New Roman"/><w:color w:val="000000"/><w:sz w:val="20"/><w:szCs w:val="20"/><w:b w:val="0"/><w:bCs w:val="0"/></w:rPr><w:t xml:space="preserve"> operating and reportable segment.</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Liquidity and Capital Resources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Since its inception, the Company funded its operations and capital expenditures through cash flows from product sales, loans from affiliates and entities controlled by certain of its affiliates, third-party debt and proceeds from the sale of its capital stock. As of September 30, 2023, the Company had an accumulated deficit of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40,402</w:t></w:r><w:r><w:rPr><w:rFonts w:ascii="Times New Roman" w:hAnsi="Times New Roman" w:eastAsia="Times New Roman" w:cs="Times New Roman"/><w:color w:val="000000"/><w:sz w:val="20"/><w:szCs w:val="20"/><w:b w:val="0"/><w:bCs w:val="0"/></w:rPr><w:t xml:space="preserve"> and working capital of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144,091</w:t></w:r><w:r><w:rPr><w:rFonts w:ascii="Times New Roman" w:hAnsi="Times New Roman" w:eastAsia="Times New Roman" w:cs="Times New Roman"/><w:color w:val="000000"/><w:sz w:val="20"/><w:szCs w:val="20"/><w:b w:val="0"/><w:bCs w:val="0"/></w:rPr><w:t xml:space="preserve"> which included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98,226</w:t></w:r><w:r><w:rPr><w:rFonts w:ascii="Times New Roman" w:hAnsi="Times New Roman" w:eastAsia="Times New Roman" w:cs="Times New Roman"/><w:color w:val="000000"/><w:sz w:val="20"/><w:szCs w:val="20"/><w:b w:val="0"/><w:bCs w:val="0"/></w:rPr><w:t xml:space="preserve"> in cash and cash equivalents. It also has $</w:t></w:r><w:r><w:rPr><w:rFonts w:ascii="Times New Roman" w:hAnsi="Times New Roman" w:eastAsia="Times New Roman" w:cs="Times New Roman"/><w:color w:val="000000"/><w:sz w:val="20"/><w:szCs w:val="20"/><w:b w:val="0"/><w:bCs w:val="0"/></w:rPr><w:t xml:space="preserve">125.0</w:t></w:r><w:r><w:rPr><w:rFonts w:ascii="Times New Roman" w:hAnsi="Times New Roman" w:eastAsia="Times New Roman" w:cs="Times New Roman"/><w:color w:val="000000"/><w:sz w:val="20"/><w:szCs w:val="20"/><w:b w:val="0"/><w:bCs w:val="0"/></w:rPr><w:t xml:space="preserve"> million available for future revolving borrowings under its Revolving Facility (see Note “13. Long-Term Debt Obligations”). For the nine months ended September 30, 2023, it reported net revenue of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333,489</w:t></w:r><w:r><w:rPr><w:rFonts w:ascii="Times New Roman" w:hAnsi="Times New Roman" w:eastAsia="Times New Roman" w:cs="Times New Roman"/><w:color w:val="000000"/><w:sz w:val="20"/><w:szCs w:val="20"/><w:b w:val="0"/><w:bCs w:val="0"/></w:rPr><w:t xml:space="preserve">, a net income of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5,513</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20,304</w:t></w:r><w:r><w:rPr><w:rFonts w:ascii="Times New Roman" w:hAnsi="Times New Roman" w:eastAsia="Times New Roman" w:cs="Times New Roman"/><w:color w:val="000000"/><w:sz w:val="20"/><w:szCs w:val="20"/><w:b w:val="0"/><w:bCs w:val="0"/></w:rPr><w:t xml:space="preserve"> of cash inflows from operating activities. The Company expects that its cash on hand and other components of working capital as of September 30, 2023, availability under the 2021 Credit Agreement, plus net cash flows from product sales, will be sufficient to fund its operating expenses, capital expenditure requirements, and debt service payments for at least 12 months beyond the filing date of this quarterly report.</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 The Company continues to closely monitor ongoing developments in connection with the COVID-19 pandemic that could negatively affect its commercial prospects, cash position, and access to capital in fiscal 2023 or beyond. The Company will continue to assess its cash and other sources of liquidity and, if circumstances warrant, make appropriate adjustments to its operating plan.</w:t></w:r></w:p><w:p><w:pPr><w:jc w:val="start"/><w:ind w:left="0" w:right="0" w:firstLine="0" w:hanging="0"/><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Company’s significant accounting policies are described in Note “2. Significant Accounting Policies” to the Consolidated Financial Statements included in the Company’s Annual Report on Form 10-K for the fiscal year ended December 31, 2022 (the “Annual Report”). There have been no material changes to the significant accounting policies previously disclosed in the Annual Report.</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accompanying unaudited condensed consolidated financial statements have been prepared by management in accordance with generally accepted accounting principles in the United States (“GAAP”), and the rules and regulations of the SEC regarding interim financial reporting. Accordingly, they do not include all the information and footnotes required by GAAP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Annual Report.</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unaudited condensed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condensed consolidated financial statements reflect all adjustments of a normal recurring nature necessary for a fair presentation of the Company’s financial position, results of operations and cash flows at the dates and for the periods indicated. The results for the nine months ended September 30, 2023 are not necessarily indicative of the results to be expected for the year ending December 31, 2023</w:t></w:r><w:r><w:rPr><w:rFonts w:ascii="Times New Roman" w:hAnsi="Times New Roman" w:eastAsia="Times New Roman" w:cs="Times New Roman"/><w:color w:val="000000"/><w:sz w:val="20"/><w:szCs w:val="20"/><w:b w:val="0"/><w:bCs w:val="0"/></w:rPr><w:t xml:space="preserve">, any other interim periods, or any future years or periods.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preparation of financial statements in conformity with GAAP requires management to make estimates and assumptions that affect the reported amounts of assets and liabilities at the date of the financial statements and the reported results of operations during</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reporting periods. In preparing the condensed consolidated financial statements, the estimates and assumptions that management consider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and indefinite lived assets (including intangible assets); assessing impairment of goodwill; and</w:t></w:r><w:r><w:rPr><w:rFonts w:ascii="Times New Roman" w:hAnsi="Times New Roman" w:eastAsia="Times New Roman" w:cs="Times New Roman"/><w:color w:val="000000"/><w:sz w:val="20"/><w:szCs w:val="20"/><w:b w:val="0"/><w:bCs w:val="0"/></w:rPr><w:t xml:space="preserve"> the valuation and recognition of stock-based compensation. Actual results and outcomes may differ significantly from those estimates and assumptions.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b w:val="0"/><w:bCs w:val="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Recently Issued Accounting Pronouncements Adopted</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i w:val="1"/><w:iCs w:val="1"/></w:rPr><w:t xml:space="preserve">Credit Loss</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June 2016, the FASB issued </w:t></w:r><w:r><w:rPr><w:rFonts w:ascii="Times New Roman" w:hAnsi="Times New Roman" w:eastAsia="Times New Roman" w:cs="Times New Roman"/><w:color w:val="000000"/><w:sz w:val="20"/><w:szCs w:val="20"/><w:b w:val="0"/><w:bCs w:val="0"/></w:rPr><w:t xml:space="preserve">ASU 2016-13</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i w:val="1"/><w:iCs w:val="1"/></w:rPr><w:t xml:space="preserve">Financial Instruments—Credit Losses (Topic 326)</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i w:val="1"/><w:iCs w:val="1"/></w:rPr><w:t xml:space="preserve">Measurement of Credit Losses on Financial Instruments</w:t></w:r><w:r><w:rPr><w:rFonts w:ascii="Times New Roman" w:hAnsi="Times New Roman" w:eastAsia="Times New Roman" w:cs="Times New Roman"/><w:color w:val="000000"/><w:sz w:val="20"/><w:szCs w:val="20"/><w:b w:val="0"/><w:bCs w:val="0"/></w:rPr><w:t xml:space="preserve">. The FASB subsequently issued a few amendments to ASU 2016-13. ASU 2016-13 and all the related updates replace the incurred loss impairment methodology previously required under generally accepted accounting principles, with an expected loss methodology that requires consideration of a broader range of reasonable and supportable information to inform credit loss estimates.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w:t></w:r><w:r><w:rPr><w:rFonts w:ascii="Times New Roman" w:hAnsi="Times New Roman" w:eastAsia="Times New Roman" w:cs="Times New Roman"/><w:color w:val="000000"/><w:sz w:val="20"/><w:szCs w:val="20"/><w:b w:val="0"/><w:bCs w:val="0"/></w:rPr><w:t xml:space="preserve">adopted</w:t></w:r><w:r><w:rPr><w:rFonts w:ascii="Times New Roman" w:hAnsi="Times New Roman" w:eastAsia="Times New Roman" w:cs="Times New Roman"/><w:color w:val="000000"/><w:sz w:val="20"/><w:szCs w:val="20"/><w:b w:val="0"/><w:bCs w:val="0"/></w:rPr><w:t xml:space="preserve"> the standard as of </w:t></w:r><w:r><w:rPr><w:rFonts w:ascii="Times New Roman" w:hAnsi="Times New Roman" w:eastAsia="Times New Roman" w:cs="Times New Roman"/><w:color w:val="000000"/><w:sz w:val="20"/><w:szCs w:val="20"/><w:b w:val="0"/><w:bCs w:val="0"/></w:rPr><w:t xml:space="preserve">January 1, 2023</w:t></w:r><w:r><w:rPr><w:rFonts w:ascii="Times New Roman" w:hAnsi="Times New Roman" w:eastAsia="Times New Roman" w:cs="Times New Roman"/><w:color w:val="000000"/><w:sz w:val="20"/><w:szCs w:val="20"/><w:b w:val="0"/><w:bCs w:val="0"/></w:rPr><w:t xml:space="preserve"> using the modified retrospective method. Under this method, the Company applied the new credit loss measurement guidance to trade accounts receivable, the only financial asset of the Company that is impacted by the ASU and the related updates. The Company recorded a net reduction of $</w:t></w:r><w:r><w:rPr><w:rFonts w:ascii="Times New Roman" w:hAnsi="Times New Roman" w:eastAsia="Times New Roman" w:cs="Times New Roman"/><w:color w:val="000000"/><w:sz w:val="20"/><w:szCs w:val="20"/><w:b w:val="0"/><w:bCs w:val="0"/></w:rPr><w:t xml:space="preserve">615</w:t></w:r><w:r><w:rPr><w:rFonts w:ascii="Times New Roman" w:hAnsi="Times New Roman" w:eastAsia="Times New Roman" w:cs="Times New Roman"/><w:color w:val="000000"/><w:sz w:val="20"/><w:szCs w:val="20"/><w:b w:val="0"/><w:bCs w:val="0"/></w:rPr><w:t xml:space="preserve"> to the opening balance of retained earnings as the cumulative effect of initially applying the standard. Results for reporting periods beginning after January 1, 2023 are presented in accordance with </w:t></w:r><w:r><w:rPr><w:rFonts w:ascii="Times New Roman" w:hAnsi="Times New Roman" w:eastAsia="Times New Roman" w:cs="Times New Roman"/><w:color w:val="000000"/><w:sz w:val="20"/><w:szCs w:val="20"/><w:b w:val="0"/><w:bCs w:val="0"/><w:i w:val="1"/><w:iCs w:val="1"/></w:rPr><w:t xml:space="preserve">Topic 326</w:t></w:r><w:r><w:rPr><w:rFonts w:ascii="Times New Roman" w:hAnsi="Times New Roman" w:eastAsia="Times New Roman" w:cs="Times New Roman"/><w:color w:val="000000"/><w:sz w:val="20"/><w:szCs w:val="20"/><w:b w:val="0"/><w:bCs w:val="0"/></w:rPr><w:t xml:space="preserve">. Prior period amounts have not been restated and are reported in accordance with legacy GAAP requirements.</w:t></w:r></w:p><w:p><w:pPr><w:jc w:val="start"/><w:ind w:left="0" w:right="0" w:firstLine="0" w:hanging="0"/><w:spacing w:before="360" w:after="0"/></w:pPr><w:r><w:rPr><w:rFonts w:ascii="Times New Roman" w:hAnsi="Times New Roman" w:eastAsia="Times New Roman" w:cs="Times New Roman"/><w:color w:val="000000"/><w:sz w:val="20"/><w:szCs w:val="20"/><w:b w:val="1"/><w:bCs w:val="1"/></w:rPr><w:t xml:space="preserve">3. Acquisition</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aggregate consideration amounted to $</w:t></w:r><w:r><w:rPr><w:rFonts w:ascii="Times New Roman" w:hAnsi="Times New Roman" w:eastAsia="Times New Roman" w:cs="Times New Roman"/><w:color w:val="000000"/><w:sz w:val="20"/><w:szCs w:val="20"/><w:b w:val="0"/><w:bCs w:val="0"/></w:rPr><w:t xml:space="preserve">19,024</w:t></w:r><w:r><w:rPr><w:rFonts w:ascii="Times New Roman" w:hAnsi="Times New Roman" w:eastAsia="Times New Roman" w:cs="Times New Roman"/><w:color w:val="000000"/><w:sz w:val="20"/><w:szCs w:val="20"/><w:b w:val="0"/><w:bCs w:val="0"/></w:rPr><w:t xml:space="preserve"> as of the Acquisition Date, consisting of $</w:t></w:r><w:r><w:rPr><w:rFonts w:ascii="Times New Roman" w:hAnsi="Times New Roman" w:eastAsia="Times New Roman" w:cs="Times New Roman"/><w:color w:val="000000"/><w:sz w:val="20"/><w:szCs w:val="20"/><w:b w:val="0"/><w:bCs w:val="0"/></w:rPr><w:t xml:space="preserve">6,427</w:t></w:r><w:r><w:rPr><w:rFonts w:ascii="Times New Roman" w:hAnsi="Times New Roman" w:eastAsia="Times New Roman" w:cs="Times New Roman"/><w:color w:val="000000"/><w:sz w:val="20"/><w:szCs w:val="20"/><w:b w:val="0"/><w:bCs w:val="0"/></w:rPr><w:t xml:space="preserve"> in cash, </w:t></w:r><w:r><w:rPr><w:rFonts w:ascii="Times New Roman" w:hAnsi="Times New Roman" w:eastAsia="Times New Roman" w:cs="Times New Roman"/><w:color w:val="000000"/><w:sz w:val="20"/><w:szCs w:val="20"/><w:b w:val="0"/><w:bCs w:val="0"/></w:rPr><w:t xml:space="preserve">2,151,438</w:t></w:r><w:r><w:rPr><w:rFonts w:ascii="Times New Roman" w:hAnsi="Times New Roman" w:eastAsia="Times New Roman" w:cs="Times New Roman"/><w:color w:val="000000"/><w:sz w:val="20"/><w:szCs w:val="20"/><w:b w:val="0"/><w:bCs w:val="0"/></w:rPr><w:t xml:space="preserve"> shares of the Company’s Class A common stock with a fair value of $</w:t></w:r><w:r><w:rPr><w:rFonts w:ascii="Times New Roman" w:hAnsi="Times New Roman" w:eastAsia="Times New Roman" w:cs="Times New Roman"/><w:color w:val="000000"/><w:sz w:val="20"/><w:szCs w:val="20"/><w:b w:val="0"/><w:bCs w:val="0"/></w:rPr><w:t xml:space="preserve">8,815</w:t></w:r><w:r><w:rPr><w:rFonts w:ascii="Times New Roman" w:hAnsi="Times New Roman" w:eastAsia="Times New Roman" w:cs="Times New Roman"/><w:color w:val="000000"/><w:sz w:val="20"/><w:szCs w:val="20"/><w:b w:val="0"/><w:bCs w:val="0"/></w:rPr><w:t xml:space="preserve">, and contingent consideration (the “Earnout”) with a fair value of $</w:t></w:r><w:r><w:rPr><w:rFonts w:ascii="Times New Roman" w:hAnsi="Times New Roman" w:eastAsia="Times New Roman" w:cs="Times New Roman"/><w:color w:val="000000"/><w:sz w:val="20"/><w:szCs w:val="20"/><w:b w:val="0"/><w:bCs w:val="0"/></w:rPr><w:t xml:space="preserve">3,782</w:t></w:r><w:r><w:rPr><w:rFonts w:ascii="Times New Roman" w:hAnsi="Times New Roman" w:eastAsia="Times New Roman" w:cs="Times New Roman"/><w:color w:val="000000"/><w:sz w:val="20"/><w:szCs w:val="20"/><w:b w:val="0"/><w:bCs w:val="0"/></w:rPr><w:t xml:space="preserve">. On the Acquisition Date, the Company paid $</w:t></w:r><w:r><w:rPr><w:rFonts w:ascii="Times New Roman" w:hAnsi="Times New Roman" w:eastAsia="Times New Roman" w:cs="Times New Roman"/><w:color w:val="000000"/><w:sz w:val="20"/><w:szCs w:val="20"/><w:b w:val="0"/><w:bCs w:val="0"/></w:rPr><w:t xml:space="preserve">5,820</w:t></w:r><w:r><w:rPr><w:rFonts w:ascii="Times New Roman" w:hAnsi="Times New Roman" w:eastAsia="Times New Roman" w:cs="Times New Roman"/><w:color w:val="000000"/><w:sz w:val="20"/><w:szCs w:val="20"/><w:b w:val="0"/><w:bCs w:val="0"/></w:rPr><w:t xml:space="preserve"> in cash and issued </w:t></w:r><w:r><w:rPr><w:rFonts w:ascii="Times New Roman" w:hAnsi="Times New Roman" w:eastAsia="Times New Roman" w:cs="Times New Roman"/><w:color w:val="000000"/><w:sz w:val="20"/><w:szCs w:val="20"/><w:b w:val="0"/><w:bCs w:val="0"/></w:rPr><w:t xml:space="preserve">1,947,953</w:t></w:r><w:r><w:rPr><w:rFonts w:ascii="Times New Roman" w:hAnsi="Times New Roman" w:eastAsia="Times New Roman" w:cs="Times New Roman"/><w:color w:val="000000"/><w:sz w:val="20"/><w:szCs w:val="20"/><w:b w:val="0"/><w:bCs w:val="0"/></w:rPr><w:t xml:space="preserve"> shares of the Company’s Class A common stock. The remaining consideration of $</w:t></w:r><w:r><w:rPr><w:rFonts w:ascii="Times New Roman" w:hAnsi="Times New Roman" w:eastAsia="Times New Roman" w:cs="Times New Roman"/><w:color w:val="000000"/><w:sz w:val="20"/><w:szCs w:val="20"/><w:b w:val="0"/><w:bCs w:val="0"/></w:rPr><w:t xml:space="preserve">1,436</w:t></w:r><w:r><w:rPr><w:rFonts w:ascii="Times New Roman" w:hAnsi="Times New Roman" w:eastAsia="Times New Roman" w:cs="Times New Roman"/><w:color w:val="000000"/><w:sz w:val="20"/><w:szCs w:val="20"/><w:b w:val="0"/><w:bCs w:val="0"/></w:rPr><w:t xml:space="preserve"> was held back and was released in April 2022 by the Company paying $</w:t></w:r><w:r><w:rPr><w:rFonts w:ascii="Times New Roman" w:hAnsi="Times New Roman" w:eastAsia="Times New Roman" w:cs="Times New Roman"/><w:color w:val="000000"/><w:sz w:val="20"/><w:szCs w:val="20"/><w:b w:val="0"/><w:bCs w:val="0"/></w:rPr><w:t xml:space="preserve">608</w:t></w:r><w:r><w:rPr><w:rFonts w:ascii="Times New Roman" w:hAnsi="Times New Roman" w:eastAsia="Times New Roman" w:cs="Times New Roman"/><w:color w:val="000000"/><w:sz w:val="20"/><w:szCs w:val="20"/><w:b w:val="0"/><w:bCs w:val="0"/></w:rPr><w:t xml:space="preserve"> in cash and issuing </w:t></w:r><w:r><w:rPr><w:rFonts w:ascii="Times New Roman" w:hAnsi="Times New Roman" w:eastAsia="Times New Roman" w:cs="Times New Roman"/><w:color w:val="000000"/><w:sz w:val="20"/><w:szCs w:val="20"/><w:b w:val="0"/><w:bCs w:val="0"/></w:rPr><w:t xml:space="preserve">203,485</w:t></w:r><w:r><w:rPr><w:rFonts w:ascii="Times New Roman" w:hAnsi="Times New Roman" w:eastAsia="Times New Roman" w:cs="Times New Roman"/><w:color w:val="000000"/><w:sz w:val="20"/><w:szCs w:val="20"/><w:b w:val="0"/><w:bCs w:val="0"/></w:rPr><w:t xml:space="preserve"> shares of the Company’s Class A common stock to the former equity holders of CPN.</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was obligated to pay the Earnout to CPN’s former equity holders if CPN’s legacy product revenue in the Earnout Period (July 1, 2021 to June 30, 2022), exceeded CPN’s 2019 revenue. The amount of the Earnout, if any, would be equal to </w:t></w:r><w:r><w:rPr><w:rFonts w:ascii="Times New Roman" w:hAnsi="Times New Roman" w:eastAsia="Times New Roman" w:cs="Times New Roman"/><w:color w:val="000000"/><w:sz w:val="20"/><w:szCs w:val="20"/><w:b w:val="0"/><w:bCs w:val="0"/></w:rPr><w:t xml:space="preserve">70</w:t></w:r><w:r><w:rPr><w:rFonts w:ascii="Times New Roman" w:hAnsi="Times New Roman" w:eastAsia="Times New Roman" w:cs="Times New Roman"/><w:color w:val="000000"/><w:sz w:val="20"/><w:szCs w:val="20"/><w:b w:val="0"/><w:bCs w:val="0"/></w:rPr><w:t xml:space="preserve">% of the excess and would be payable 60 days after the expiration of the Earnout Period. As of the conclusion of the Earnout Period on June 30, 2022, the Company calculated the Earnout liability to be $</w:t></w:r><w:r><w:rPr><w:rFonts w:ascii="Times New Roman" w:hAnsi="Times New Roman" w:eastAsia="Times New Roman" w:cs="Times New Roman"/><w:color w:val="000000"/><w:sz w:val="20"/><w:szCs w:val="20"/><w:b w:val="0"/><w:bCs w:val="0"/></w:rPr><w:t xml:space="preserve">0</w:t></w:r><w:r><w:rPr><w:rFonts w:ascii="Times New Roman" w:hAnsi="Times New Roman" w:eastAsia="Times New Roman" w:cs="Times New Roman"/><w:color w:val="000000"/><w:sz w:val="20"/><w:szCs w:val="20"/><w:b w:val="0"/><w:bCs w:val="0"/></w:rPr><w:t xml:space="preserve">. During the Earnout Period, the Company assessed the fair value of the Earnout liability at each reporting period. Subsequent changes in the estimated fair value of the liability were reflected in earnings until the liability was settled. See Note “5. Fair Value Measurement of Financial Assets and Liabilities.”</w:t></w:r></w:p><w:p><w:pPr><w:jc w:val="center"/><w:ind w:left="0" w:right="0" w:firstLine="0" w:hanging="0"/><w:spacing w:before="240" w:after="0"/></w:pPr><w:r><w:rPr><w:rFonts w:ascii="Times New Roman" w:hAnsi="Times New Roman" w:eastAsia="Times New Roman" w:cs="Times New Roman"/><w:color w:val="000000"/><w:sz w:val="20"/><w:szCs w:val="20"/><w:b w:val="0"/><w:bCs w:val="0"/></w:rPr><w:t xml:space="preserve">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4. Revenue</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months ended September 30, 2023 and 2022, the Company recorded GPO fees</w:t></w:r><w:r><w:rPr><w:rFonts w:ascii="Times New Roman" w:hAnsi="Times New Roman" w:eastAsia="Times New Roman" w:cs="Times New Roman"/><w:color w:val="000000"/><w:sz w:val="20"/><w:szCs w:val="20"/><w:b w:val="0"/><w:bCs w:val="0"/></w:rPr><w:t xml:space="preserve"> of $</w:t></w:r><w:r><w:rPr><w:rFonts w:ascii="Times New Roman" w:hAnsi="Times New Roman" w:eastAsia="Times New Roman" w:cs="Times New Roman"/><w:color w:val="000000"/><w:sz w:val="20"/><w:szCs w:val="20"/><w:b w:val="0"/><w:bCs w:val="0"/></w:rPr><w:t xml:space="preserve">1,393</w:t></w:r><w:r><w:rPr><w:rFonts w:ascii="Times New Roman" w:hAnsi="Times New Roman" w:eastAsia="Times New Roman" w:cs="Times New Roman"/><w:color w:val="000000"/><w:sz w:val="20"/><w:szCs w:val="20"/><w:b w:val="0"/><w:bCs w:val="0"/></w:rPr><w:t xml:space="preserve"> and</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1,183</w:t></w:r><w:r><w:rPr><w:rFonts w:ascii="Times New Roman" w:hAnsi="Times New Roman" w:eastAsia="Times New Roman" w:cs="Times New Roman"/><w:color w:val="000000"/><w:sz w:val="20"/><w:szCs w:val="20"/><w:b w:val="0"/><w:bCs w:val="0"/></w:rPr><w:t xml:space="preserve">, respectively, as a direct reduction of revenue. For the </w:t></w:r><w:r><w:rPr><w:rFonts w:ascii="Times New Roman" w:hAnsi="Times New Roman" w:eastAsia="Times New Roman" w:cs="Times New Roman"/><w:color w:val="000000"/><w:sz w:val="20"/><w:szCs w:val="20"/><w:b w:val="0"/><w:bCs w:val="0"/></w:rPr><w:t xml:space="preserve">nine months ended September 30, 2023 and 2022, the Company recorded GPO fees</w:t></w:r><w:r><w:rPr><w:rFonts w:ascii="Times New Roman" w:hAnsi="Times New Roman" w:eastAsia="Times New Roman" w:cs="Times New Roman"/><w:color w:val="000000"/><w:sz w:val="20"/><w:szCs w:val="20"/><w:b w:val="0"/><w:bCs w:val="0"/></w:rPr><w:t xml:space="preserve"> of $</w:t></w:r><w:r><w:rPr><w:rFonts w:ascii="Times New Roman" w:hAnsi="Times New Roman" w:eastAsia="Times New Roman" w:cs="Times New Roman"/><w:color w:val="000000"/><w:sz w:val="20"/><w:szCs w:val="20"/><w:b w:val="0"/><w:bCs w:val="0"/></w:rPr><w:t xml:space="preserve">4,282</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5,136</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respectively, as a direct reduction of revenue.</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following tables set forth revenue</w:t></w:r><w:r><w:rPr><w:rFonts w:ascii="Times New Roman" w:hAnsi="Times New Roman" w:eastAsia="Times New Roman" w:cs="Times New Roman"/><w:color w:val="000000"/><w:sz w:val="20"/><w:szCs w:val="20"/><w:b w:val="0"/><w:bCs w:val="0"/></w:rPr><w:t xml:space="preserve"> by product category:</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4800" w:type="dxa"/><w:gridCol w:w="26100" w:type="dxa"/><w:gridCol w:w="50" w:type="dxa"/><w:gridCol w:w="44999999999999950" w:type="dxa"/><w:gridCol w:w="50" w:type="dxa"/><w:gridCol w:w="19100" w:type="dxa"/><w:gridCol w:w="50" w:type="dxa"/><w:gridCol w:w="44999999999999950" w:type="dxa"/><w:gridCol w:w="50" w:type="dxa"/></w:tblGrid><w:tblPr><w:tblW w:w="0" w:type="pct"/><w:tblLayout w:type="autofit"/></w:tblPr><w:tr><w:trPr/><w:tc><w:tcPr><w:tcW w:w="14800" w:type="pct"/><w:noWrap/></w:tcPr><w:p><w:pPr/></w:p></w:tc><w:tc><w:tcPr><w:tcW w:w="26100" w:type="pct"/><w:noWrap/></w:tcPr><w:p><w:pPr/></w:p></w:tc><w:tc><w:tcPr><w:tcW w:w="50" w:type="pct"/><w:noWrap/></w:tcPr><w:p><w:pPr/></w:p></w:tc><w:tc><w:tcPr><w:tcW w:w="44999999999999950" w:type="pct"/><w:noWrap/></w:tcPr><w:p><w:pPr/></w:p></w:tc><w:tc><w:tcPr><w:tcW w:w="50" w:type="pct"/><w:noWrap/></w:tcPr><w:p><w:pPr/></w:p></w:tc><w:tc><w:tcPr><w:tcW w:w="19100" w:type="pct"/><w:noWrap/></w:tcPr><w:p><w:pPr/></w:p></w:tc><w:tc><w:tcPr><w:tcW w:w="50" w:type="pct"/><w:noWrap/></w:tcPr><w:p><w:pPr/></w:p></w:tc><w:tc><w:tcPr><w:tcW w:w="449999999999999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Advanced Wound Care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101,357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109,514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Surgical & Sports Medicine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7,174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7,345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net revenue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108,531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116,859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tbl><w:tblGrid><w:gridCol w:w="14800" w:type="dxa"/><w:gridCol w:w="26100" w:type="dxa"/><w:gridCol w:w="50" w:type="dxa"/><w:gridCol w:w="44999999999999950" w:type="dxa"/><w:gridCol w:w="50" w:type="dxa"/><w:gridCol w:w="19100" w:type="dxa"/><w:gridCol w:w="50" w:type="dxa"/><w:gridCol w:w="44999999999999950" w:type="dxa"/><w:gridCol w:w="50" w:type="dxa"/></w:tblGrid><w:tblPr><w:tblW w:w="0" w:type="pct"/><w:tblLayout w:type="autofit"/></w:tblPr><w:tr><w:trPr/><w:tc><w:tcPr><w:tcW w:w="14800" w:type="pct"/><w:noWrap/></w:tcPr><w:p><w:pPr/></w:p></w:tc><w:tc><w:tcPr><w:tcW w:w="26100" w:type="pct"/><w:noWrap/></w:tcPr><w:p><w:pPr/></w:p></w:tc><w:tc><w:tcPr><w:tcW w:w="50" w:type="pct"/><w:noWrap/></w:tcPr><w:p><w:pPr/></w:p></w:tc><w:tc><w:tcPr><w:tcW w:w="44999999999999950" w:type="pct"/><w:noWrap/></w:tcPr><w:p><w:pPr/></w:p></w:tc><w:tc><w:tcPr><w:tcW w:w="50" w:type="pct"/><w:noWrap/></w:tcPr><w:p><w:pPr/></w:p></w:tc><w:tc><w:tcPr><w:tcW w:w="19100" w:type="pct"/><w:noWrap/></w:tcPr><w:p><w:pPr/></w:p></w:tc><w:tc><w:tcPr><w:tcW w:w="50" w:type="pct"/><w:noWrap/></w:tcPr><w:p><w:pPr/></w:p></w:tc><w:tc><w:tcPr><w:tcW w:w="449999999999999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Advanced Wound Care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312,349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313,395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Surgical & Sports Medicine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21,140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21,982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net revenue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333,489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335,377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b w:val="0"/><w:bCs w:val="0"/></w:rPr><w:t xml:space="preserve">For all periods presented, net revenue generated outside the United States represented less than </w:t></w:r><w:r><w:rPr><w:rFonts w:ascii="Times New Roman" w:hAnsi="Times New Roman" w:eastAsia="Times New Roman" w:cs="Times New Roman"/><w:color w:val="000000"/><w:sz w:val="20"/><w:szCs w:val="20"/><w:b w:val="0"/><w:bCs w:val="0"/></w:rPr><w:t xml:space="preserve">1</w:t></w:r><w:r><w:rPr><w:rFonts w:ascii="Times New Roman" w:hAnsi="Times New Roman" w:eastAsia="Times New Roman" w:cs="Times New Roman"/><w:color w:val="000000"/><w:sz w:val="20"/><w:szCs w:val="20"/><w:b w:val="0"/><w:bCs w:val="0"/></w:rPr><w:t xml:space="preserve">% of total net revenue.</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5. Fair Value Measurement of Financial Assets and Liabilities</w:t></w:r></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1"/><w:bCs w:val="1"/><w:i w:val="1"/><w:iCs w:val="1"/></w:rPr><w:t xml:space="preserve">Earnout Liability</w:t></w:r></w:p><w:p><w:pPr><w:jc w:val="start"/><w:ind w:left="0" w:right="0" w:firstLine="0" w:hanging="0"/><w:spacing w:before="120" w:after="120"/></w:pPr><w:r><w:rPr><w:rFonts w:ascii="Times New Roman" w:hAnsi="Times New Roman" w:eastAsia="Times New Roman" w:cs="Times New Roman"/><w:color w:val="000000"/><w:sz w:val="20"/><w:szCs w:val="20"/><w:b w:val="0"/><w:bCs w:val="0"/></w:rPr><w:t xml:space="preserve">In connection with accountin</w:t></w:r><w:r><w:rPr><w:rFonts w:ascii="Times New Roman" w:hAnsi="Times New Roman" w:eastAsia="Times New Roman" w:cs="Times New Roman"/><w:color w:val="000000"/><w:sz w:val="20"/><w:szCs w:val="20"/><w:b w:val="0"/><w:bCs w:val="0"/></w:rPr><w:t xml:space="preserve">g for the CPN acquisition on September 17, 2020, the Company recorded an Earnout liability of $</w:t></w:r><w:r><w:rPr><w:rFonts w:ascii="Times New Roman" w:hAnsi="Times New Roman" w:eastAsia="Times New Roman" w:cs="Times New Roman"/><w:color w:val="000000"/><w:sz w:val="20"/><w:szCs w:val="20"/><w:b w:val="0"/><w:bCs w:val="0"/></w:rPr><w:t xml:space="preserve">3,782</w:t></w:r><w:r><w:rPr><w:rFonts w:ascii="Times New Roman" w:hAnsi="Times New Roman" w:eastAsia="Times New Roman" w:cs="Times New Roman"/><w:color w:val="000000"/><w:sz w:val="20"/><w:szCs w:val="20"/><w:b w:val="0"/><w:bCs w:val="0"/></w:rPr><w:t xml:space="preserve"> on the Acquisition Date, representing the fair value of contingent consideration payable upon the achievement of a certain revenue target. The Earnout liability was classified as a Level 3 measurement within the fair value hierarchy for which fair value was derived from inputs that were unobservable and significant to the overall fair value measurement. The fair value of such Earnout liability was estimated using a Monte Carlo simulation model that utilized key assumptions including forecasted revenues and volatilities of the underlying financial metrics during the Earnout Period that ended on June 30, 2022. Before its settlement, the Company assessed the fair value of the Earnout liability at each reporting period. Any subsequent changes in the estimated fair value of the liability were reflected in selling, general and administrative expenses until the liability was settled. Since September 30, 2021, the Earnout liability remained at $</w:t></w:r><w:r><w:rPr><w:rFonts w:ascii="Times New Roman" w:hAnsi="Times New Roman" w:eastAsia="Times New Roman" w:cs="Times New Roman"/><w:color w:val="000000"/><w:sz w:val="20"/><w:szCs w:val="20"/><w:b w:val="0"/><w:bCs w:val="0"/></w:rPr><w:t xml:space="preserve">0</w:t></w:r><w:r><w:rPr><w:rFonts w:ascii="Times New Roman" w:hAnsi="Times New Roman" w:eastAsia="Times New Roman" w:cs="Times New Roman"/><w:color w:val="000000"/><w:sz w:val="20"/><w:szCs w:val="20"/><w:b w:val="0"/><w:bCs w:val="0"/></w:rPr><w:t xml:space="preserve"> through its settlement. For more information about the Earnout liability, refer to Note “3. Acquisition.”</w:t></w:r><w:r><w:rPr><w:rFonts w:ascii="Times New Roman" w:hAnsi="Times New Roman" w:eastAsia="Times New Roman" w:cs="Times New Roman"/><w:color w:val="000000"/><w:sz w:val="20"/><w:szCs w:val="20"/><w:b w:val="0"/><w:bCs w:val="0"/></w:rPr><w:t xml:space="preserve"> </w:t></w:r></w:p><w:p><w:pPr><w:jc w:val="start"/><w:ind w:left="0" w:right="0" w:firstLine="0" w:hanging="0"/><w:spacing w:before="120" w:after="120"/></w:pPr><w:r><w:rPr><w:rFonts w:ascii="Times New Roman" w:hAnsi="Times New Roman" w:eastAsia="Times New Roman" w:cs="Times New Roman"/><w:color w:val="000000"/><w:sz w:val="20"/><w:szCs w:val="20"/><w:b w:val="0"/><w:bCs w:val="0"/></w:rPr><w:t xml:space="preserve">The Company did not have any financial assets and liabilities measured at fair value on a non-recurring basis as of September 30, 2023 and December 31, 2022</w:t></w:r><w:r><w:rPr><w:rFonts w:ascii="Times New Roman" w:hAnsi="Times New Roman" w:eastAsia="Times New Roman" w:cs="Times New Roman"/><w:color w:val="000000"/><w:sz w:val="20"/><w:szCs w:val="20"/><w:b w:val="0"/><w:bCs w:val="0"/></w:rPr><w:t xml:space="preserve">.</w:t></w:r></w:p><w:p><w:pPr><w:jc w:val="start"/><w:ind w:left="0" w:right="0" w:firstLine="0" w:hanging="0"/><w:spacing w:before="360" w:after="0"/></w:pPr><w:r><w:rPr><w:rFonts w:ascii="Times New Roman" w:hAnsi="Times New Roman" w:eastAsia="Times New Roman" w:cs="Times New Roman"/><w:color w:val="000000"/><w:sz w:val="20"/><w:szCs w:val="20"/><w:b w:val="1"/><w:bCs w:val="1"/></w:rPr><w:t xml:space="preserve">6.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Accounts receiva</w:t></w:r><w:r><w:rPr><w:rFonts w:ascii="Times New Roman" w:hAnsi="Times New Roman" w:eastAsia="Times New Roman" w:cs="Times New Roman"/><w:color w:val="000000"/><w:sz w:val="20"/><w:szCs w:val="20"/><w:b w:val="0"/><w:bCs w:val="0"/></w:rPr><w:t xml:space="preserve">ble consisted of the following:</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8750" w:type="dxa"/><w:gridCol w:w="28850" w:type="dxa"/><w:gridCol w:w="50" w:type="dxa"/><w:gridCol w:w="36700" w:type="dxa"/><w:gridCol w:w="50" w:type="dxa"/><w:gridCol w:w="28850" w:type="dxa"/><w:gridCol w:w="50" w:type="dxa"/><w:gridCol w:w="36700" w:type="dxa"/><w:gridCol w:w="50" w:type="dxa"/></w:tblGrid><w:tblPr><w:tblW w:w="0" w:type="pct"/><w:tblLayout w:type="autofit"/></w:tblPr><w:tr><w:trPr/><w:tc><w:tcPr><w:tcW w:w="18750" w:type="pct"/><w:noWrap/></w:tcPr><w:p><w:pPr/></w:p></w:tc><w:tc><w:tcPr><w:tcW w:w="28850" w:type="pct"/><w:noWrap/></w:tcPr><w:p><w:pPr/></w:p></w:tc><w:tc><w:tcPr><w:tcW w:w="50" w:type="pct"/><w:noWrap/></w:tcPr><w:p><w:pPr/></w:p></w:tc><w:tc><w:tcPr><w:tcW w:w="36700" w:type="pct"/><w:noWrap/></w:tcPr><w:p><w:pPr/></w:p></w:tc><w:tc><w:tcPr><w:tcW w:w="50" w:type="pct"/><w:noWrap/></w:tcPr><w:p><w:pPr/></w:p></w:tc><w:tc><w:tcPr><w:tcW w:w="28850" w:type="pct"/><w:noWrap/></w:tcPr><w:p><w:pPr/></w:p></w:tc><w:tc><w:tcPr><w:tcW w:w="50" w:type="pct"/><w:noWrap/></w:tcPr><w:p><w:pPr/></w:p></w:tc><w:tc><w:tcPr><w:tcW w:w="3670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Accounts receivable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96,829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95,812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Less — allowance for credit losses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7,553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6,362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20.00000000000003"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2"/><w:szCs w:val="22"/><w:b w:val="0"/><w:bCs w:val="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89,276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89,450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The Company</w:t></w:r><w:r><w:rPr><w:rFonts w:ascii="Times New Roman" w:hAnsi="Times New Roman" w:eastAsia="Times New Roman" w:cs="Times New Roman"/><w:color w:val="000000"/><w:sz w:val="20"/><w:szCs w:val="20"/><w:b w:val="0"/><w:bCs w:val="0"/></w:rPr><w:t xml:space="preserve">’s allowance for credit losses was comprised of the following:</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3850" w:type="dxa"/><w:gridCol w:w="22200" w:type="dxa"/><w:gridCol w:w="50" w:type="dxa"/><w:gridCol w:w="11900" w:type="dxa"/><w:gridCol w:w="50" w:type="dxa"/><w:gridCol w:w="22200" w:type="dxa"/><w:gridCol w:w="50" w:type="dxa"/><w:gridCol w:w="11900" w:type="dxa"/><w:gridCol w:w="50" w:type="dxa"/><w:gridCol w:w="22200" w:type="dxa"/><w:gridCol w:w="50" w:type="dxa"/><w:gridCol w:w="11900" w:type="dxa"/><w:gridCol w:w="50" w:type="dxa"/><w:gridCol w:w="22200" w:type="dxa"/><w:gridCol w:w="50" w:type="dxa"/><w:gridCol w:w="11900" w:type="dxa"/><w:gridCol w:w="50" w:type="dxa"/></w:tblGrid><w:tblPr><w:tblW w:w="0" w:type="pct"/><w:tblLayout w:type="autofit"/></w:tblPr><w:tr><w:trPr/><w:tc><w:tcPr><w:tcW w:w="13850" w:type="pct"/><w:noWrap/></w:tcPr><w:p><w:pPr/></w:p></w:tc><w:tc><w:tcPr><w:tcW w:w="22200" w:type="pct"/><w:noWrap/></w:tcPr><w:p><w:pPr/></w:p></w:tc><w:tc><w:tcPr><w:tcW w:w="50" w:type="pct"/><w:noWrap/></w:tcPr><w:p><w:pPr/></w:p></w:tc><w:tc><w:tcPr><w:tcW w:w="11900" w:type="pct"/><w:noWrap/></w:tcPr><w:p><w:pPr/></w:p></w:tc><w:tc><w:tcPr><w:tcW w:w="50" w:type="pct"/><w:noWrap/></w:tcPr><w:p><w:pPr/></w:p></w:tc><w:tc><w:tcPr><w:tcW w:w="22200" w:type="pct"/><w:noWrap/></w:tcPr><w:p><w:pPr/></w:p></w:tc><w:tc><w:tcPr><w:tcW w:w="50" w:type="pct"/><w:noWrap/></w:tcPr><w:p><w:pPr/></w:p></w:tc><w:tc><w:tcPr><w:tcW w:w="11900" w:type="pct"/><w:noWrap/></w:tcPr><w:p><w:pPr/></w:p></w:tc><w:tc><w:tcPr><w:tcW w:w="50" w:type="pct"/><w:noWrap/></w:tcPr><w:p><w:pPr/></w:p></w:tc><w:tc><w:tcPr><w:tcW w:w="22200" w:type="pct"/><w:noWrap/></w:tcPr><w:p><w:pPr/></w:p></w:tc><w:tc><w:tcPr><w:tcW w:w="50" w:type="pct"/><w:noWrap/></w:tcPr><w:p><w:pPr/></w:p></w:tc><w:tc><w:tcPr><w:tcW w:w="11900" w:type="pct"/><w:noWrap/></w:tcPr><w:p><w:pPr/></w:p></w:tc><w:tc><w:tcPr><w:tcW w:w="50" w:type="pct"/><w:noWrap/></w:tcPr><w:p><w:pPr/></w:p></w:tc><w:tc><w:tcPr><w:tcW w:w="22200" w:type="pct"/><w:noWrap/></w:tcPr><w:p><w:pPr/></w:p></w:tc><w:tc><w:tcPr><w:tcW w:w="50" w:type="pct"/><w:noWrap/></w:tcPr><w:p><w:pPr/></w:p></w:tc><w:tc><w:tcPr><w:tcW w:w="1190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Balance at beginning of period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6,651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6,362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5,153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Cumulative effect of adopting ASU 2016-13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615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Additions (adjustments)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1,130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733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855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Write-offs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228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177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744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430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Balance at end of period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7,553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5,578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7,553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5,578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7.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Inventories, net of related reserves for excess and obsolescence, </w:t></w:r><w:r><w:rPr><w:rFonts w:ascii="Times New Roman" w:hAnsi="Times New Roman" w:eastAsia="Times New Roman" w:cs="Times New Roman"/><w:color w:val="000000"/><w:sz w:val="20"/><w:szCs w:val="20"/><w:b w:val="0"/><w:bCs w:val="0"/></w:rPr><w:t xml:space="preserve">consisted of the following:</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5050" w:type="dxa"/><w:gridCol w:w="25100" w:type="dxa"/><w:gridCol w:w="50" w:type="dxa"/><w:gridCol w:w="40850" w:type="dxa"/><w:gridCol w:w="50" w:type="dxa"/><w:gridCol w:w="18100" w:type="dxa"/><w:gridCol w:w="50" w:type="dxa"/><w:gridCol w:w="40850" w:type="dxa"/><w:gridCol w:w="50" w:type="dxa"/></w:tblGrid><w:tblPr><w:tblW w:w="0" w:type="pct"/><w:tblLayout w:type="autofit"/></w:tblPr><w:tr><w:trPr/><w:tc><w:tcPr><w:tcW w:w="25050" w:type="pct"/><w:noWrap/></w:tcPr><w:p><w:pPr/></w:p></w:tc><w:tc><w:tcPr><w:tcW w:w="25100" w:type="pct"/><w:noWrap/></w:tcPr><w:p><w:pPr/></w:p></w:tc><w:tc><w:tcPr><w:tcW w:w="50" w:type="pct"/><w:noWrap/></w:tcPr><w:p><w:pPr/></w:p></w:tc><w:tc><w:tcPr><w:tcW w:w="40850" w:type="pct"/><w:noWrap/></w:tcPr><w:p><w:pPr/></w:p></w:tc><w:tc><w:tcPr><w:tcW w:w="50" w:type="pct"/><w:noWrap/></w:tcPr><w:p><w:pPr/></w:p></w:tc><w:tc><w:tcPr><w:tcW w:w="18100" w:type="pct"/><w:noWrap/></w:tcPr><w:p><w:pPr/></w:p></w:tc><w:tc><w:tcPr><w:tcW w:w="50" w:type="pct"/><w:noWrap/></w:tcPr><w:p><w:pPr/></w:p></w:tc><w:tc><w:tcPr><w:tcW w:w="408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Raw materials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13,908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12,282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Work in process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1,341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1,022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Finished goods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12,656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11,479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27,905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24,783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months ended September 30, 2023 and 2022, the Company charged</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887</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2,393</w:t></w:r><w:r><w:rPr><w:rFonts w:ascii="Times New Roman" w:hAnsi="Times New Roman" w:eastAsia="Times New Roman" w:cs="Times New Roman"/><w:color w:val="000000"/><w:sz w:val="20"/><w:szCs w:val="20"/><w:b w:val="0"/><w:bCs w:val="0"/></w:rPr><w:t xml:space="preserve">, respectively, for inventory excess and obsolescence to cost of goods sold within the condensed consolidated statements of operations. </w:t></w:r><w:r><w:rPr><w:rFonts w:ascii="Times New Roman" w:hAnsi="Times New Roman" w:eastAsia="Times New Roman" w:cs="Times New Roman"/><w:color w:val="000000"/><w:sz w:val="20"/><w:szCs w:val="20"/><w:b w:val="0"/><w:bCs w:val="0"/></w:rPr><w:t xml:space="preserve">During the nine months ended September 30, 2023 and 2022, the Company charged</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4,351</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7,621</w:t></w:r><w:r><w:rPr><w:rFonts w:ascii="Times New Roman" w:hAnsi="Times New Roman" w:eastAsia="Times New Roman" w:cs="Times New Roman"/><w:color w:val="000000"/><w:sz w:val="20"/><w:szCs w:val="20"/><w:b w:val="0"/><w:bCs w:val="0"/></w:rPr><w:t xml:space="preserve">, respectively, for inventory excess and obsolescence to cost of goods sold within the condensed consolidated statements of operations.</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b w:val="1"/><w:bCs w:val="1"/></w:rPr><w:t xml:space="preserve">8. Prepaid Expenses and Other Current Assets</w:t></w:r></w:p><w:p><w:pPr><w:jc w:val="start"/><w:ind w:left="0" w:right="0" w:firstLine="0" w:hanging="0"/><w:spacing w:before="120" w:after="0"/></w:pPr><w:r><w:rPr><w:rFonts w:ascii="Times New Roman" w:hAnsi="Times New Roman" w:eastAsia="Times New Roman" w:cs="Times New Roman"/><w:color w:val="000000"/><w:sz w:val="20"/><w:szCs w:val="20"/><w:b w:val="0"/><w:bCs w:val="0"/></w:rPr><w:t xml:space="preserve">Prepaid expenses and other current assets consist</w:t></w:r><w:r><w:rPr><w:rFonts w:ascii="Times New Roman" w:hAnsi="Times New Roman" w:eastAsia="Times New Roman" w:cs="Times New Roman"/><w:color w:val="000000"/><w:sz w:val="20"/><w:szCs w:val="20"/><w:b w:val="0"/><w:bCs w:val="0"/></w:rPr><w:t xml:space="preserve">ed of the following:</w:t></w:r></w:p><w:p><w:pPr><w:jc w:val="start"/><w:ind w:left="0" w:right="0" w:firstLine="0" w:hanging="0"/><w:spacing w:before="120" w:after="0"/></w:pPr><w:r><w:rPr><w:rFonts w:ascii="Times New Roman" w:hAnsi="Times New Roman" w:eastAsia="Times New Roman" w:cs="Times New Roman"/><w:sz w:val="24"/><w:szCs w:val="24"/></w:rPr><w:t xml:space="preserve"> </w:t></w:r></w:p><w:tbl><w:tblGrid><w:gridCol w:w="400" w:type="dxa"/><w:gridCol w:w="31100" w:type="dxa"/><w:gridCol w:w="50" w:type="dxa"/><w:gridCol w:w="41850" w:type="dxa"/><w:gridCol w:w="50" w:type="dxa"/><w:gridCol w:w="31100" w:type="dxa"/><w:gridCol w:w="50" w:type="dxa"/><w:gridCol w:w="41850" w:type="dxa"/><w:gridCol w:w="50" w:type="dxa"/></w:tblGrid><w:tblPr><w:tblW w:w="0" w:type="pct"/><w:tblLayout w:type="autofit"/></w:tblPr><w:tr><w:trPr/><w:tc><w:tcPr><w:tcW w:w="400" w:type="pct"/><w:noWrap/></w:tcPr><w:p><w:pPr/></w:p></w:tc><w:tc><w:tcPr><w:tcW w:w="31100" w:type="pct"/><w:noWrap/></w:tcPr><w:p><w:pPr/></w:p></w:tc><w:tc><w:tcPr><w:tcW w:w="50" w:type="pct"/><w:noWrap/></w:tcPr><w:p><w:pPr/></w:p></w:tc><w:tc><w:tcPr><w:tcW w:w="41850" w:type="pct"/><w:noWrap/></w:tcPr><w:p><w:pPr/></w:p></w:tc><w:tc><w:tcPr><w:tcW w:w="50" w:type="pct"/><w:noWrap/></w:tcPr><w:p><w:pPr/></w:p></w:tc><w:tc><w:tcPr><w:tcW w:w="31100" w:type="pct"/><w:noWrap/></w:tcPr><w:p><w:pPr/></w:p></w:tc><w:tc><w:tcPr><w:tcW w:w="50" w:type="pct"/><w:noWrap/></w:tcPr><w:p><w:pPr/></w:p></w:tc><w:tc><w:tcPr><w:tcW w:w="418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b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b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Subscriptions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6,778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4,211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Conferences and marketing expenses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764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Deposits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934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635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Insurance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1,054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Other</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9,567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5,086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Deposits are funds held by vendors which are expected to be released within twelve months and therefore they are recorded as current assets.</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9.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Property and equipme</w:t></w:r><w:r><w:rPr><w:rFonts w:ascii="Times New Roman" w:hAnsi="Times New Roman" w:eastAsia="Times New Roman" w:cs="Times New Roman"/><w:color w:val="000000"/><w:sz w:val="20"/><w:szCs w:val="20"/><w:b w:val="0"/><w:bCs w:val="0"/></w:rPr><w:t xml:space="preserve">nt consisted of the following:</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5600" w:type="dxa"/><w:gridCol w:w="24900" w:type="dxa"/><w:gridCol w:w="50" w:type="dxa"/><w:gridCol w:w="45799999999999950" w:type="dxa"/><w:gridCol w:w="50" w:type="dxa"/><w:gridCol w:w="17900" w:type="dxa"/><w:gridCol w:w="50" w:type="dxa"/><w:gridCol w:w="45799999999999950" w:type="dxa"/><w:gridCol w:w="50" w:type="dxa"/></w:tblGrid><w:tblPr><w:tblW w:w="0" w:type="pct"/><w:tblLayout w:type="autofit"/></w:tblPr><w:tr><w:trPr/><w:tc><w:tcPr><w:tcW w:w="15600" w:type="pct"/><w:noWrap/></w:tcPr><w:p><w:pPr/></w:p></w:tc><w:tc><w:tcPr><w:tcW w:w="24900" w:type="pct"/><w:noWrap/></w:tcPr><w:p><w:pPr/></w:p></w:tc><w:tc><w:tcPr><w:tcW w:w="50" w:type="pct"/><w:noWrap/></w:tcPr><w:p><w:pPr/></w:p></w:tc><w:tc><w:tcPr><w:tcW w:w="45799999999999950" w:type="pct"/><w:noWrap/></w:tcPr><w:p><w:pPr/></w:p></w:tc><w:tc><w:tcPr><w:tcW w:w="50" w:type="pct"/><w:noWrap/></w:tcPr><w:p><w:pPr/></w:p></w:tc><w:tc><w:tcPr><w:tcW w:w="17900" w:type="pct"/><w:noWrap/></w:tcPr><w:p><w:pPr/></w:p></w:tc><w:tc><w:tcPr><w:tcW w:w="50" w:type="pct"/><w:noWrap/></w:tcPr><w:p><w:pPr/></w:p></w:tc><w:tc><w:tcPr><w:tcW w:w="457999999999999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Leasehold improvements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59,053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37,607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Buildings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4,943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4,943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Furniture, computers and equipment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64,333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57,147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20.00000000000003"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2"/><w:szCs w:val="22"/><w:b w:val="0"/><w:bCs w:val="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128,329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99,697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Accumulated depreciation</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70,243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62,798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Construction in progress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59,417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65,564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w:szCs w:val="2"/><w:b w:val="0"/><w:bCs w:val="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117,503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102,463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40" w:after="0"/></w:pPr><w:r><w:rPr><w:rFonts w:ascii="Times New Roman" w:hAnsi="Times New Roman" w:eastAsia="Times New Roman" w:cs="Times New Roman"/><w:color w:val="000000"/><w:sz w:val="20"/><w:szCs w:val="20"/><w:b w:val="0"/><w:bCs w:val="0"/></w:rPr><w:t xml:space="preserve">Depreciation expense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2,544</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1,456</w:t></w:r><w:r><w:rPr><w:rFonts w:ascii="Times New Roman" w:hAnsi="Times New Roman" w:eastAsia="Times New Roman" w:cs="Times New Roman"/><w:color w:val="000000"/><w:sz w:val="20"/><w:szCs w:val="20"/><w:b w:val="0"/><w:bCs w:val="0"/></w:rPr><w:t xml:space="preserve"> for the </w:t></w:r><w:r><w:rPr><w:rFonts w:ascii="Times New Roman" w:hAnsi="Times New Roman" w:eastAsia="Times New Roman" w:cs="Times New Roman"/><w:color w:val="000000"/><w:sz w:val="20"/><w:szCs w:val="20"/><w:b w:val="0"/><w:bCs w:val="0"/></w:rPr><w:t xml:space="preserve">three months ended September 30, 2023 and 2022, respectively. Depreciation expense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7,466</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4,331</w:t></w:r><w:r><w:rPr><w:rFonts w:ascii="Times New Roman" w:hAnsi="Times New Roman" w:eastAsia="Times New Roman" w:cs="Times New Roman"/><w:color w:val="000000"/><w:sz w:val="20"/><w:szCs w:val="20"/><w:b w:val="0"/><w:bCs w:val="0"/></w:rPr><w:t xml:space="preserve"> for the </w:t></w:r><w:r><w:rPr><w:rFonts w:ascii="Times New Roman" w:hAnsi="Times New Roman" w:eastAsia="Times New Roman" w:cs="Times New Roman"/><w:color w:val="000000"/><w:sz w:val="20"/><w:szCs w:val="20"/><w:b w:val="0"/><w:bCs w:val="0"/></w:rPr><w:t xml:space="preserve">nine months ended September 30, 2023 and 2022, respectively. Construction in progress primarily represents the ongoing ERP system implementation and the unfinished construction work on a purchased building located on the Company’s Canton, Massachusetts campus and improvements at the Company’s leased facilities in Canton and Norwood, Massachusetts.</w:t></w:r><w:r><w:rPr><w:rFonts w:ascii="Times New Roman" w:hAnsi="Times New Roman" w:eastAsia="Times New Roman" w:cs="Times New Roman"/><w:color w:val="000000"/><w:sz w:val="20"/><w:szCs w:val="20"/><w:b w:val="0"/><w:bCs w:val="0"/></w:rPr><w:t xml:space="preserve"> </w:t></w:r></w:p><w:p><w:pPr><w:jc w:val="start"/><w:ind w:left="0" w:right="0" w:firstLine="0" w:hanging="0"/><w:spacing w:before="40" w:after="0"/></w:pPr><w:r><w:rPr><w:rFonts w:ascii="Times New Roman" w:hAnsi="Times New Roman" w:eastAsia="Times New Roman" w:cs="Times New Roman"/><w:color w:val="000000"/><w:sz w:val="20"/><w:szCs w:val="20"/><w:b w:val="0"/><w:bCs w:val="0"/></w:rPr><w:t xml:space="preserve">During the three and nine months ended September 30, 2022, the Company recorded a charge of $</w:t></w:r><w:r><w:rPr><w:rFonts w:ascii="Times New Roman" w:hAnsi="Times New Roman" w:eastAsia="Times New Roman" w:cs="Times New Roman"/><w:color w:val="000000"/><w:sz w:val="20"/><w:szCs w:val="20"/><w:b w:val="0"/><w:bCs w:val="0"/></w:rPr><w:t xml:space="preserve">4,200</w:t></w:r><w:r><w:rPr><w:rFonts w:ascii="Times New Roman" w:hAnsi="Times New Roman" w:eastAsia="Times New Roman" w:cs="Times New Roman"/><w:color w:val="000000"/><w:sz w:val="20"/><w:szCs w:val="20"/><w:b w:val="0"/><w:bCs w:val="0"/></w:rPr><w:t xml:space="preserve"> for the sale and donation of some equipment related to the construction in progress in one of its Canton, Massachusetts facilities. The disposal was the result of a change in the design of the construction plan for the manufacturing facility and the determination that this equipment was no longer compatible with the ongoing design. In the same quarter, the Company decided to pause the construction of this manufacturing facility due to the inflation and market conditions that adversely impacted construction projects across the biotechnology and life sciences industries. In connection with this decision, the Company recorded a charge of $</w:t></w:r><w:r><w:rPr><w:rFonts w:ascii="Times New Roman" w:hAnsi="Times New Roman" w:eastAsia="Times New Roman" w:cs="Times New Roman"/><w:color w:val="000000"/><w:sz w:val="20"/><w:szCs w:val="20"/><w:b w:val="0"/><w:bCs w:val="0"/></w:rPr><w:t xml:space="preserve">632</w:t></w:r><w:r><w:rPr><w:rFonts w:ascii="Times New Roman" w:hAnsi="Times New Roman" w:eastAsia="Times New Roman" w:cs="Times New Roman"/><w:color w:val="000000"/><w:sz w:val="20"/><w:szCs w:val="20"/><w:b w:val="0"/><w:bCs w:val="0"/></w:rPr><w:t xml:space="preserve"> as cancellation fees to various vendors. These charges were included in selling, general and administrative expenses on the consolidated statements of operations for the three and nine months ended September 30, 2022.</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10.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Goodwill was $</w:t></w:r><w:r><w:rPr><w:rFonts w:ascii="Times New Roman" w:hAnsi="Times New Roman" w:eastAsia="Times New Roman" w:cs="Times New Roman"/><w:color w:val="000000"/><w:sz w:val="20"/><w:szCs w:val="20"/><w:b w:val="0"/><w:bCs w:val="0"/></w:rPr><w:t xml:space="preserve">28,772</w:t></w:r><w:r><w:rPr><w:rFonts w:ascii="Times New Roman" w:hAnsi="Times New Roman" w:eastAsia="Times New Roman" w:cs="Times New Roman"/><w:color w:val="000000"/><w:sz w:val="20"/><w:szCs w:val="20"/><w:b w:val="0"/><w:bCs w:val="0"/></w:rPr><w:t xml:space="preserve"> as of </w:t></w:r><w:r><w:rPr><w:rFonts w:ascii="Times New Roman" w:hAnsi="Times New Roman" w:eastAsia="Times New Roman" w:cs="Times New Roman"/><w:color w:val="000000"/><w:sz w:val="20"/><w:szCs w:val="20"/><w:b w:val="0"/><w:bCs w:val="0"/></w:rPr><w:t xml:space="preserve">September 30, 2023 and December 31, 2022.</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Intangible assets consisted</w:t></w:r><w:r><w:rPr><w:rFonts w:ascii="Times New Roman" w:hAnsi="Times New Roman" w:eastAsia="Times New Roman" w:cs="Times New Roman"/><w:color w:val="000000"/><w:sz w:val="20"/><w:szCs w:val="20"/><w:b w:val="0"/><w:bCs w:val="0"/></w:rPr><w:t xml:space="preserve"> of the following as of September 30, 2023:</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650" w:type="dxa"/><w:gridCol w:w="15100" w:type="dxa"/><w:gridCol w:w="50" w:type="dxa"/><w:gridCol w:w="38050" w:type="dxa"/><w:gridCol w:w="50" w:type="dxa"/><w:gridCol w:w="9100" w:type="dxa"/><w:gridCol w:w="50" w:type="dxa"/><w:gridCol w:w="38050" w:type="dxa"/><w:gridCol w:w="50" w:type="dxa"/><w:gridCol w:w="9100" w:type="dxa"/><w:gridCol w:w="50" w:type="dxa"/><w:gridCol w:w="38050" w:type="dxa"/><w:gridCol w:w="50" w:type="dxa"/></w:tblGrid><w:tblPr><w:tblW w:w="0" w:type="pct"/><w:tblLayout w:type="autofit"/></w:tblPr><w:tr><w:trPr/><w:tc><w:tcPr><w:tcW w:w="2650" w:type="pct"/><w:noWrap/></w:tcPr><w:p><w:pPr/></w:p></w:tc><w:tc><w:tcPr><w:tcW w:w="15100" w:type="pct"/><w:noWrap/></w:tcPr><w:p><w:pPr/></w:p></w:tc><w:tc><w:tcPr><w:tcW w:w="50" w:type="pct"/><w:noWrap/></w:tcPr><w:p><w:pPr/></w:p></w:tc><w:tc><w:tcPr><w:tcW w:w="38050" w:type="pct"/><w:noWrap/></w:tcPr><w:p><w:pPr/></w:p></w:tc><w:tc><w:tcPr><w:tcW w:w="50" w:type="pct"/><w:noWrap/></w:tcPr><w:p><w:pPr/></w:p></w:tc><w:tc><w:tcPr><w:tcW w:w="9100" w:type="pct"/><w:noWrap/></w:tcPr><w:p><w:pPr/></w:p></w:tc><w:tc><w:tcPr><w:tcW w:w="50" w:type="pct"/><w:noWrap/></w:tcPr><w:p><w:pPr/></w:p></w:tc><w:tc><w:tcPr><w:tcW w:w="38050" w:type="pct"/><w:noWrap/></w:tcPr><w:p><w:pPr/></w:p></w:tc><w:tc><w:tcPr><w:tcW w:w="50" w:type="pct"/><w:noWrap/></w:tcPr><w:p><w:pPr/></w:p></w:tc><w:tc><w:tcPr><w:tcW w:w="9100" w:type="pct"/><w:noWrap/></w:tcPr><w:p><w:pPr/></w:p></w:tc><w:tc><w:tcPr><w:tcW w:w="50" w:type="pct"/><w:noWrap/></w:tcPr><w:p><w:pPr/></w:p></w:tc><w:tc><w:tcPr><w:tcW w:w="380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Original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Net Book</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Cost</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Amortization</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Value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Developed technology</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32,620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23,790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8,830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Trade names and trademarks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2,080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1,541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539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Customer relationships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10,690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3,252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7,438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Independent sales agency network</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4,500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4,500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Patent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7,623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7,623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Non-compete agreements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1,010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716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294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58,523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41,422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17,101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Intangible assets consisted of the following as of December 31, 2022:</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650" w:type="dxa"/><w:gridCol w:w="15100" w:type="dxa"/><w:gridCol w:w="50" w:type="dxa"/><w:gridCol w:w="38050" w:type="dxa"/><w:gridCol w:w="50" w:type="dxa"/><w:gridCol w:w="9100" w:type="dxa"/><w:gridCol w:w="50" w:type="dxa"/><w:gridCol w:w="38050" w:type="dxa"/><w:gridCol w:w="50" w:type="dxa"/><w:gridCol w:w="9100" w:type="dxa"/><w:gridCol w:w="50" w:type="dxa"/><w:gridCol w:w="38050" w:type="dxa"/><w:gridCol w:w="50" w:type="dxa"/></w:tblGrid><w:tblPr><w:tblW w:w="0" w:type="pct"/><w:tblLayout w:type="autofit"/></w:tblPr><w:tr><w:trPr/><w:tc><w:tcPr><w:tcW w:w="2650" w:type="pct"/><w:noWrap/></w:tcPr><w:p><w:pPr/></w:p></w:tc><w:tc><w:tcPr><w:tcW w:w="15100" w:type="pct"/><w:noWrap/></w:tcPr><w:p><w:pPr/></w:p></w:tc><w:tc><w:tcPr><w:tcW w:w="50" w:type="pct"/><w:noWrap/></w:tcPr><w:p><w:pPr/></w:p></w:tc><w:tc><w:tcPr><w:tcW w:w="38050" w:type="pct"/><w:noWrap/></w:tcPr><w:p><w:pPr/></w:p></w:tc><w:tc><w:tcPr><w:tcW w:w="50" w:type="pct"/><w:noWrap/></w:tcPr><w:p><w:pPr/></w:p></w:tc><w:tc><w:tcPr><w:tcW w:w="9100" w:type="pct"/><w:noWrap/></w:tcPr><w:p><w:pPr/></w:p></w:tc><w:tc><w:tcPr><w:tcW w:w="50" w:type="pct"/><w:noWrap/></w:tcPr><w:p><w:pPr/></w:p></w:tc><w:tc><w:tcPr><w:tcW w:w="38050" w:type="pct"/><w:noWrap/></w:tcPr><w:p><w:pPr/></w:p></w:tc><w:tc><w:tcPr><w:tcW w:w="50" w:type="pct"/><w:noWrap/></w:tcPr><w:p><w:pPr/></w:p></w:tc><w:tc><w:tcPr><w:tcW w:w="9100" w:type="pct"/><w:noWrap/></w:tcPr><w:p><w:pPr/></w:p></w:tc><w:tc><w:tcPr><w:tcW w:w="50" w:type="pct"/><w:noWrap/></w:tcPr><w:p><w:pPr/></w:p></w:tc><w:tc><w:tcPr><w:tcW w:w="380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Original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Net Book</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Cost</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Amortization</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Value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Developed technology</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32,620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21,164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11,456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Trade names and trademarks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2,080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1,393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687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Customer relationship</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10,690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2,450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8,240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Independent sales agency network</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4,500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4,500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Patent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7,623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7,623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Non-compete agreements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1,010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604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406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58,523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37,734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20,789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Amortization of intangible assets, calculated on a straight-line basis or using a</w:t></w:r><w:r><w:rPr><w:rFonts w:ascii="Times New Roman" w:hAnsi="Times New Roman" w:eastAsia="Times New Roman" w:cs="Times New Roman"/><w:color w:val="000000"/><w:sz w:val="20"/><w:szCs w:val="20"/><w:b w:val="0"/><w:bCs w:val="0"/></w:rPr><w:t xml:space="preserve">n accelerated method, was $</w:t></w:r><w:r><w:rPr><w:rFonts w:ascii="Times New Roman" w:hAnsi="Times New Roman" w:eastAsia="Times New Roman" w:cs="Times New Roman"/><w:color w:val="000000"/><w:sz w:val="20"/><w:szCs w:val="20"/><w:b w:val="0"/><w:bCs w:val="0"/></w:rPr><w:t xml:space="preserve">1,230</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1,220</w:t></w:r><w:r><w:rPr><w:rFonts w:ascii="Times New Roman" w:hAnsi="Times New Roman" w:eastAsia="Times New Roman" w:cs="Times New Roman"/><w:color w:val="000000"/><w:sz w:val="20"/><w:szCs w:val="20"/><w:b w:val="0"/><w:bCs w:val="0"/></w:rPr><w:t xml:space="preserve"> for the </w:t></w:r><w:r><w:rPr><w:rFonts w:ascii="Times New Roman" w:hAnsi="Times New Roman" w:eastAsia="Times New Roman" w:cs="Times New Roman"/><w:color w:val="000000"/><w:sz w:val="20"/><w:szCs w:val="20"/><w:b w:val="0"/><w:bCs w:val="0"/></w:rPr><w:t xml:space="preserve">three months ended September 30, 2023 and 2022, respectively, and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3,689</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3,662</w:t></w:r><w:r><w:rPr><w:rFonts w:ascii="Times New Roman" w:hAnsi="Times New Roman" w:eastAsia="Times New Roman" w:cs="Times New Roman"/><w:color w:val="000000"/><w:sz w:val="20"/><w:szCs w:val="20"/><w:b w:val="0"/><w:bCs w:val="0"/></w:rPr><w:t xml:space="preserve"> for the </w:t></w:r><w:r><w:rPr><w:rFonts w:ascii="Times New Roman" w:hAnsi="Times New Roman" w:eastAsia="Times New Roman" w:cs="Times New Roman"/><w:color w:val="000000"/><w:sz w:val="20"/><w:szCs w:val="20"/><w:b w:val="0"/><w:bCs w:val="0"/></w:rPr><w:t xml:space="preserve">nine months ended September 30,</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2023 and 2022</w:t></w:r><w:r><w:rPr><w:rFonts w:ascii="Times New Roman" w:hAnsi="Times New Roman" w:eastAsia="Times New Roman" w:cs="Times New Roman"/><w:color w:val="000000"/><w:sz w:val="20"/><w:szCs w:val="20"/><w:b w:val="0"/><w:bCs w:val="0"/></w:rPr><w:t xml:space="preserve">, respectively. The weighted average remaining useful lives for developed technology, trade names and trademarks, customer relationship, and non-compete agreements are </w:t></w:r><w:r><w:rPr><w:rFonts w:ascii="Times New Roman" w:hAnsi="Times New Roman" w:eastAsia="Times New Roman" w:cs="Times New Roman"/><w:color w:val="000000"/><w:sz w:val="20"/><w:szCs w:val="20"/><w:b w:val="0"/><w:bCs w:val="0"/></w:rPr><w:t xml:space="preserve">4.5</w:t></w:r><w:r><w:rPr><w:rFonts w:ascii="Times New Roman" w:hAnsi="Times New Roman" w:eastAsia="Times New Roman" w:cs="Times New Roman"/><w:color w:val="000000"/><w:sz w:val="20"/><w:szCs w:val="20"/><w:b w:val="0"/><w:bCs w:val="0"/></w:rPr><w:t xml:space="preserve"> years, </w:t></w:r><w:r><w:rPr><w:rFonts w:ascii="Times New Roman" w:hAnsi="Times New Roman" w:eastAsia="Times New Roman" w:cs="Times New Roman"/><w:color w:val="000000"/><w:sz w:val="20"/><w:szCs w:val="20"/><w:b w:val="0"/><w:bCs w:val="0"/></w:rPr><w:t xml:space="preserve">4.6</w:t></w:r><w:r><w:rPr><w:rFonts w:ascii="Times New Roman" w:hAnsi="Times New Roman" w:eastAsia="Times New Roman" w:cs="Times New Roman"/><w:color w:val="000000"/><w:sz w:val="20"/><w:szCs w:val="20"/><w:b w:val="0"/><w:bCs w:val="0"/></w:rPr><w:t xml:space="preserve"> years, </w:t></w:r><w:r><w:rPr><w:rFonts w:ascii="Times New Roman" w:hAnsi="Times New Roman" w:eastAsia="Times New Roman" w:cs="Times New Roman"/><w:color w:val="000000"/><w:sz w:val="20"/><w:szCs w:val="20"/><w:b w:val="0"/><w:bCs w:val="0"/></w:rPr><w:t xml:space="preserve">7.0</w:t></w:r><w:r><w:rPr><w:rFonts w:ascii="Times New Roman" w:hAnsi="Times New Roman" w:eastAsia="Times New Roman" w:cs="Times New Roman"/><w:color w:val="000000"/><w:sz w:val="20"/><w:szCs w:val="20"/><w:b w:val="0"/><w:bCs w:val="0"/></w:rPr><w:t xml:space="preserve"> years, and </w:t></w:r><w:r><w:rPr><w:rFonts w:ascii="Times New Roman" w:hAnsi="Times New Roman" w:eastAsia="Times New Roman" w:cs="Times New Roman"/><w:color w:val="000000"/><w:sz w:val="20"/><w:szCs w:val="20"/><w:b w:val="0"/><w:bCs w:val="0"/></w:rPr><w:t xml:space="preserve">2.0</w:t></w:r><w:r><w:rPr><w:rFonts w:ascii="Times New Roman" w:hAnsi="Times New Roman" w:eastAsia="Times New Roman" w:cs="Times New Roman"/><w:color w:val="000000"/><w:sz w:val="20"/><w:szCs w:val="20"/><w:b w:val="0"/><w:bCs w:val="0"/></w:rPr><w:t xml:space="preserve"> years, respectively, as of September 30, 2023.</w:t></w:r></w:p><w:p><w:pPr><w:jc w:val="start"/><w:ind w:left="0" w:right="0" w:firstLine="0" w:hanging="0"/><w:spacing w:before="360" w:after="0"/></w:pPr><w:r><w:rPr><w:rFonts w:ascii="Times New Roman" w:hAnsi="Times New Roman" w:eastAsia="Times New Roman" w:cs="Times New Roman"/><w:color w:val="000000"/><w:sz w:val="20"/><w:szCs w:val="20"/><w:b w:val="1"/><w:bCs w:val="1"/></w:rPr><w:t xml:space="preserve">11. Accrued Expenses and Other Current Liabilities</w:t></w:r></w:p><w:p><w:pPr><w:jc w:val="start"/><w:ind w:left="0" w:right="0" w:firstLine="0" w:hanging="0"/><w:spacing w:before="120" w:after="0"/></w:pPr><w:r><w:rPr><w:rFonts w:ascii="Times New Roman" w:hAnsi="Times New Roman" w:eastAsia="Times New Roman" w:cs="Times New Roman"/><w:color w:val="000000"/><w:sz w:val="20"/><w:szCs w:val="20"/><w:b w:val="0"/><w:bCs w:val="0"/></w:rPr><w:t xml:space="preserve">Accrued expenses and other current liabilities consisted</w:t></w:r><w:r><w:rPr><w:rFonts w:ascii="Times New Roman" w:hAnsi="Times New Roman" w:eastAsia="Times New Roman" w:cs="Times New Roman"/><w:color w:val="000000"/><w:sz w:val="20"/><w:szCs w:val="20"/><w:b w:val="0"/><w:bCs w:val="0"/></w:rPr><w:t xml:space="preserve"> of the following:</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5050" w:type="dxa"/><w:gridCol w:w="25100" w:type="dxa"/><w:gridCol w:w="50" w:type="dxa"/><w:gridCol w:w="40850" w:type="dxa"/><w:gridCol w:w="50" w:type="dxa"/><w:gridCol w:w="18100" w:type="dxa"/><w:gridCol w:w="50" w:type="dxa"/><w:gridCol w:w="40850" w:type="dxa"/><w:gridCol w:w="50" w:type="dxa"/></w:tblGrid><w:tblPr><w:tblW w:w="0" w:type="pct"/><w:tblLayout w:type="autofit"/></w:tblPr><w:tr><w:trPr/><w:tc><w:tcPr><w:tcW w:w="25050" w:type="pct"/><w:noWrap/></w:tcPr><w:p><w:pPr/></w:p></w:tc><w:tc><w:tcPr><w:tcW w:w="25100" w:type="pct"/><w:noWrap/></w:tcPr><w:p><w:pPr/></w:p></w:tc><w:tc><w:tcPr><w:tcW w:w="50" w:type="pct"/><w:noWrap/></w:tcPr><w:p><w:pPr/></w:p></w:tc><w:tc><w:tcPr><w:tcW w:w="40850" w:type="pct"/><w:noWrap/></w:tcPr><w:p><w:pPr/></w:p></w:tc><w:tc><w:tcPr><w:tcW w:w="50" w:type="pct"/><w:noWrap/></w:tcPr><w:p><w:pPr/></w:p></w:tc><w:tc><w:tcPr><w:tcW w:w="18100" w:type="pct"/><w:noWrap/></w:tcPr><w:p><w:pPr/></w:p></w:tc><w:tc><w:tcPr><w:tcW w:w="50" w:type="pct"/><w:noWrap/></w:tcPr><w:p><w:pPr/></w:p></w:tc><w:tc><w:tcPr><w:tcW w:w="408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Personnel costs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22,433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17,113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Royalties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2,862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3,320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Accrued but unpaid lease obligations and interest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2,204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2,463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Accrued taxes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6,185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2,625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Accrued litigation</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564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150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Other</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745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776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w:szCs w:val="2"/><w:b w:val="0"/><w:bCs w:val="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34,993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26,447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360" w:after="0"/></w:pPr><w:r><w:rPr><w:rFonts w:ascii="Times New Roman" w:hAnsi="Times New Roman" w:eastAsia="Times New Roman" w:cs="Times New Roman"/><w:color w:val="000000"/><w:sz w:val="20"/><w:szCs w:val="20"/><w:b w:val="0"/><w:bCs w:val="0"/></w:rPr><w:t xml:space="preserve">The accrued but unpaid lease obligations and the interest accrual on these obligations are related to the buildings in Canton, Massachusetts. See Note “17. Leases.”</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1"/><w:bCs w:val="1"/></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12. Restructuring</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order to reduce the Company’s cost structure and improve operating efficiency, the Company consolidated its manufacturing operations in various locations into Massachusetts facilities.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October 21, 2020, the Company committed to a plan to restructure its workforce and operations in its La Jolla, California facilities. The restructuring involved</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65</w:t></w:r><w:r><w:rPr><w:rFonts w:ascii="Times New Roman" w:hAnsi="Times New Roman" w:eastAsia="Times New Roman" w:cs="Times New Roman"/><w:color w:val="000000"/><w:sz w:val="20"/><w:szCs w:val="20"/><w:b w:val="0"/><w:bCs w:val="0"/></w:rPr><w:t xml:space="preserve"> em</w:t></w:r><w:r><w:rPr><w:rFonts w:ascii="Times New Roman" w:hAnsi="Times New Roman" w:eastAsia="Times New Roman" w:cs="Times New Roman"/><w:color w:val="000000"/><w:sz w:val="20"/><w:szCs w:val="20"/><w:b w:val="0"/><w:bCs w:val="0"/></w:rPr><w:t xml:space="preserve">ployees and was substantially completed as of December 31, 2021, with certain facility and storage activities continuing through 2024. On March 9, 2022, the Company committed to a plan to restructure its workforce and operations in its Birmingham, Alabama facilities. The restructuring involved </w:t></w:r><w:r><w:rPr><w:rFonts w:ascii="Times New Roman" w:hAnsi="Times New Roman" w:eastAsia="Times New Roman" w:cs="Times New Roman"/><w:color w:val="000000"/><w:sz w:val="20"/><w:szCs w:val="20"/><w:b w:val="0"/><w:bCs w:val="0"/></w:rPr><w:t xml:space="preserve">24</w:t></w:r><w:r><w:rPr><w:rFonts w:ascii="Times New Roman" w:hAnsi="Times New Roman" w:eastAsia="Times New Roman" w:cs="Times New Roman"/><w:color w:val="000000"/><w:sz w:val="20"/><w:szCs w:val="20"/><w:b w:val="0"/><w:bCs w:val="0"/></w:rPr><w:t xml:space="preserve"> employees and was substantially completed as of December 31, 2022</w:t></w:r><w:r><w:rPr><w:rFonts w:ascii="Times New Roman" w:hAnsi="Times New Roman" w:eastAsia="Times New Roman" w:cs="Times New Roman"/><w:color w:val="000000"/><w:sz w:val="20"/><w:szCs w:val="20"/><w:b w:val="0"/><w:bCs w:val="0"/></w:rPr><w:t xml:space="preserve">, with minimal expenses incurred in the first quarter of 2023.</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February 3, 2023, the Company committed to a plan to restructure its workforce to increase productivity and enhance profitability. The reduction in force reduced the Company’s headcount by </w:t></w:r><w:r><w:rPr><w:rFonts w:ascii="Times New Roman" w:hAnsi="Times New Roman" w:eastAsia="Times New Roman" w:cs="Times New Roman"/><w:color w:val="000000"/><w:sz w:val="20"/><w:szCs w:val="20"/><w:b w:val="0"/><w:bCs w:val="0"/></w:rPr><w:t xml:space="preserve">71</w:t></w:r><w:r><w:rPr><w:rFonts w:ascii="Times New Roman" w:hAnsi="Times New Roman" w:eastAsia="Times New Roman" w:cs="Times New Roman"/><w:color w:val="000000"/><w:sz w:val="20"/><w:szCs w:val="20"/><w:b w:val="0"/><w:bCs w:val="0"/></w:rPr><w:t xml:space="preserve"> employees, or approximately </w:t></w:r><w:r><w:rPr><w:rFonts w:ascii="Times New Roman" w:hAnsi="Times New Roman" w:eastAsia="Times New Roman" w:cs="Times New Roman"/><w:color w:val="000000"/><w:sz w:val="20"/><w:szCs w:val="20"/><w:b w:val="0"/><w:bCs w:val="0"/></w:rPr><w:t xml:space="preserve">7</w:t></w:r><w:r><w:rPr><w:rFonts w:ascii="Times New Roman" w:hAnsi="Times New Roman" w:eastAsia="Times New Roman" w:cs="Times New Roman"/><w:color w:val="000000"/><w:sz w:val="20"/><w:szCs w:val="20"/><w:b w:val="0"/><w:bCs w:val="0"/></w:rPr><w:t xml:space="preserve">% of all employees. The Company incurred a t</w:t></w:r><w:r><w:rPr><w:rFonts w:ascii="Times New Roman" w:hAnsi="Times New Roman" w:eastAsia="Times New Roman" w:cs="Times New Roman"/><w:color w:val="000000"/><w:sz w:val="20"/><w:szCs w:val="20"/><w:b w:val="0"/><w:bCs w:val="0"/></w:rPr><w:t xml:space="preserve">otal charge of $</w:t></w:r><w:r><w:rPr><w:rFonts w:ascii="Times New Roman" w:hAnsi="Times New Roman" w:eastAsia="Times New Roman" w:cs="Times New Roman"/><w:color w:val="000000"/><w:sz w:val="20"/><w:szCs w:val="20"/><w:b w:val="0"/><w:bCs w:val="0"/></w:rPr><w:t xml:space="preserve">1,609</w:t></w:r><w:r><w:rPr><w:rFonts w:ascii="Times New Roman" w:hAnsi="Times New Roman" w:eastAsia="Times New Roman" w:cs="Times New Roman"/><w:color w:val="000000"/><w:sz w:val="20"/><w:szCs w:val="20"/><w:b w:val="0"/><w:bCs w:val="0"/></w:rPr><w:t xml:space="preserve"> in the nine</w:t></w:r><w:r><w:rPr><w:rFonts w:ascii="Times New Roman" w:hAnsi="Times New Roman" w:eastAsia="Times New Roman" w:cs="Times New Roman"/><w:color w:val="000000"/><w:sz w:val="20"/><w:szCs w:val="20"/><w:b w:val="0"/><w:bCs w:val="0"/></w:rPr><w:t xml:space="preserve"> months ended on September 30, 2023 in connection with the restructuring, primarily consisting of severance payments. It was substantially completed as of March 31, 2023.</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a result of the restructuring activities, the Company recorded a pre-tax adjustment of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95</w:t></w:r><w:r><w:rPr><w:rFonts w:ascii="Times New Roman" w:hAnsi="Times New Roman" w:eastAsia="Times New Roman" w:cs="Times New Roman"/><w:color w:val="000000"/><w:sz w:val="20"/><w:szCs w:val="20"/><w:b w:val="0"/><w:bCs w:val="0"/></w:rPr><w:t xml:space="preserve"> and a pre-tax charge of $</w:t></w:r><w:r><w:rPr><w:rFonts w:ascii="Times New Roman" w:hAnsi="Times New Roman" w:eastAsia="Times New Roman" w:cs="Times New Roman"/><w:color w:val="000000"/><w:sz w:val="20"/><w:szCs w:val="20"/><w:b w:val="0"/><w:bCs w:val="0"/></w:rPr><w:t xml:space="preserve">611</w:t></w:r><w:r><w:rPr><w:rFonts w:ascii="Times New Roman" w:hAnsi="Times New Roman" w:eastAsia="Times New Roman" w:cs="Times New Roman"/><w:color w:val="000000"/><w:sz w:val="20"/><w:szCs w:val="20"/><w:b w:val="0"/><w:bCs w:val="0"/></w:rPr><w:t xml:space="preserve"> during the </w:t></w:r><w:r><w:rPr><w:rFonts w:ascii="Times New Roman" w:hAnsi="Times New Roman" w:eastAsia="Times New Roman" w:cs="Times New Roman"/><w:color w:val="000000"/><w:sz w:val="20"/><w:szCs w:val="20"/><w:b w:val="0"/><w:bCs w:val="0"/></w:rPr><w:t xml:space="preserve">three months ended September 30, 2023 and 2022</w:t></w:r><w:r><w:rPr><w:rFonts w:ascii="Times New Roman" w:hAnsi="Times New Roman" w:eastAsia="Times New Roman" w:cs="Times New Roman"/><w:color w:val="000000"/><w:sz w:val="20"/><w:szCs w:val="20"/><w:b w:val="0"/><w:bCs w:val="0"/></w:rPr><w:t xml:space="preserve">, respectively, and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1,878</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1,518</w:t></w:r><w:r><w:rPr><w:rFonts w:ascii="Times New Roman" w:hAnsi="Times New Roman" w:eastAsia="Times New Roman" w:cs="Times New Roman"/><w:color w:val="000000"/><w:sz w:val="20"/><w:szCs w:val="20"/><w:b w:val="0"/><w:bCs w:val="0"/></w:rPr><w:t xml:space="preserve"> during the </w:t></w:r><w:r><w:rPr><w:rFonts w:ascii="Times New Roman" w:hAnsi="Times New Roman" w:eastAsia="Times New Roman" w:cs="Times New Roman"/><w:color w:val="000000"/><w:sz w:val="20"/><w:szCs w:val="20"/><w:b w:val="0"/><w:bCs w:val="0"/></w:rPr><w:t xml:space="preserve">nine months ended September 30, 2023 and 2022, respectively. These charges were included in selling, general and administrative expenses in the condensed consolidated statements of operations. The liability related to the restructuring activities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14</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1,110</w:t></w:r><w:r><w:rPr><w:rFonts w:ascii="Times New Roman" w:hAnsi="Times New Roman" w:eastAsia="Times New Roman" w:cs="Times New Roman"/><w:color w:val="000000"/><w:sz w:val="20"/><w:szCs w:val="20"/><w:b w:val="0"/><w:bCs w:val="0"/></w:rPr><w:t xml:space="preserve"> a</w:t></w:r><w:r><w:rPr><w:rFonts w:ascii="Times New Roman" w:hAnsi="Times New Roman" w:eastAsia="Times New Roman" w:cs="Times New Roman"/><w:color w:val="000000"/><w:sz w:val="20"/><w:szCs w:val="20"/><w:b w:val="0"/><w:bCs w:val="0"/></w:rPr><w:t xml:space="preserve">s of September 30, 2023 and December 31, 2022, respectively, and w</w:t></w:r><w:r><w:rPr><w:rFonts w:ascii="Times New Roman" w:hAnsi="Times New Roman" w:eastAsia="Times New Roman" w:cs="Times New Roman"/><w:color w:val="000000"/><w:sz w:val="20"/><w:szCs w:val="20"/><w:b w:val="0"/><w:bCs w:val="0"/></w:rPr><w:t xml:space="preserve">as included in accrued expenses and other current liabilities in the condensed consolidated balance sheets. </w:t></w:r><w:r><w:rPr><w:rFonts w:ascii="Times New Roman" w:hAnsi="Times New Roman" w:eastAsia="Times New Roman" w:cs="Times New Roman"/><w:color w:val="000000"/><w:sz w:val="20"/><w:szCs w:val="20"/><w:b w:val="0"/><w:bCs w:val="0"/></w:rPr><w:t xml:space="preserve">The following table provides a roll-forward of the restructuring liabilities.</w:t></w:r></w:p><w:p><w:pPr><w:jc w:val="start"/><w:ind w:left="0" w:right="0" w:firstLine="0" w:hanging="0"/><w:spacing w:before="0" w:after="0"/></w:pPr><w:r><w:rPr><w:rFonts w:ascii="Times New Roman" w:hAnsi="Times New Roman" w:eastAsia="Times New Roman" w:cs="Times New Roman"/><w:sz w:val="24"/><w:szCs w:val="24"/></w:rPr><w:t xml:space="preserve"> </w:t></w:r></w:p><w:tbl><w:tblGrid><w:gridCol w:w="450" w:type="dxa"/><w:gridCol w:w="16850" w:type="dxa"/><w:gridCol w:w="50" w:type="dxa"/><w:gridCol w:w="44350" w:type="dxa"/><w:gridCol w:w="50" w:type="dxa"/><w:gridCol w:w="28800" w:type="dxa"/><w:gridCol w:w="50" w:type="dxa"/><w:gridCol w:w="44350" w:type="dxa"/><w:gridCol w:w="50" w:type="dxa"/><w:gridCol w:w="16850" w:type="dxa"/><w:gridCol w:w="50" w:type="dxa"/><w:gridCol w:w="44350" w:type="dxa"/><w:gridCol w:w="50" w:type="dxa"/></w:tblGrid><w:tblPr><w:tblW w:w="0" w:type="pct"/><w:tblLayout w:type="autofit"/></w:tblPr><w:tr><w:trPr/><w:tc><w:tcPr><w:tcW w:w="450" w:type="pct"/><w:noWrap/></w:tcPr><w:p><w:pPr/></w:p></w:tc><w:tc><w:tcPr><w:tcW w:w="16850" w:type="pct"/><w:noWrap/></w:tcPr><w:p><w:pPr/></w:p></w:tc><w:tc><w:tcPr><w:tcW w:w="50" w:type="pct"/><w:noWrap/></w:tcPr><w:p><w:pPr/></w:p></w:tc><w:tc><w:tcPr><w:tcW w:w="44350" w:type="pct"/><w:noWrap/></w:tcPr><w:p><w:pPr/></w:p></w:tc><w:tc><w:tcPr><w:tcW w:w="50" w:type="pct"/><w:noWrap/></w:tcPr><w:p><w:pPr/></w:p></w:tc><w:tc><w:tcPr><w:tcW w:w="28800" w:type="pct"/><w:noWrap/></w:tcPr><w:p><w:pPr/></w:p></w:tc><w:tc><w:tcPr><w:tcW w:w="50" w:type="pct"/><w:noWrap/></w:tcPr><w:p><w:pPr/></w:p></w:tc><w:tc><w:tcPr><w:tcW w:w="44350" w:type="pct"/><w:noWrap/></w:tcPr><w:p><w:pPr/></w:p></w:tc><w:tc><w:tcPr><w:tcW w:w="50" w:type="pct"/><w:noWrap/></w:tcPr><w:p><w:pPr/></w:p></w:tc><w:tc><w:tcPr><w:tcW w:w="16850" w:type="pct"/><w:noWrap/></w:tcPr><w:p><w:pPr/></w:p></w:tc><w:tc><w:tcPr><w:tcW w:w="50" w:type="pct"/><w:noWrap/></w:tcPr><w:p><w:pPr/></w:p></w:tc><w:tc><w:tcPr><w:tcW w:w="44350" w:type="pct"/><w:noWrap/></w:tcPr><w:p><w:pPr/></w:p></w:tc><w:tc><w:tcPr><w:tcW w:w="50" w:type="pct"/><w:noWrap/></w:tcPr><w:p><w:pP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Employee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Arial" w:hAnsi="Arial" w:eastAsia="Arial" w:cs="Arial"/><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Other</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Liability balance as of December 31, 2022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1,010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Arial" w:hAnsi="Arial" w:eastAsia="Arial" w:cs="Arial"/><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1,192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Expenses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1,609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Arial" w:hAnsi="Arial" w:eastAsia="Arial" w:cs="Arial"/><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269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1,878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Payments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2,605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Arial" w:hAnsi="Arial" w:eastAsia="Arial" w:cs="Arial"/><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451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3,056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Liability balance as of September 30, 2023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Arial" w:hAnsi="Arial" w:eastAsia="Arial" w:cs="Arial"/><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450" w:type="dxa"/><w:gridCol w:w="16850" w:type="dxa"/><w:gridCol w:w="50" w:type="dxa"/><w:gridCol w:w="44350" w:type="dxa"/><w:gridCol w:w="50" w:type="dxa"/><w:gridCol w:w="28800" w:type="dxa"/><w:gridCol w:w="50" w:type="dxa"/><w:gridCol w:w="44350" w:type="dxa"/><w:gridCol w:w="50" w:type="dxa"/><w:gridCol w:w="16850" w:type="dxa"/><w:gridCol w:w="50" w:type="dxa"/><w:gridCol w:w="44350" w:type="dxa"/><w:gridCol w:w="50" w:type="dxa"/></w:tblGrid><w:tblPr><w:tblW w:w="0" w:type="pct"/><w:tblLayout w:type="autofit"/></w:tblPr><w:tr><w:trPr/><w:tc><w:tcPr><w:tcW w:w="450" w:type="pct"/><w:noWrap/></w:tcPr><w:p><w:pPr/></w:p></w:tc><w:tc><w:tcPr><w:tcW w:w="16850" w:type="pct"/><w:noWrap/></w:tcPr><w:p><w:pPr/></w:p></w:tc><w:tc><w:tcPr><w:tcW w:w="50" w:type="pct"/><w:noWrap/></w:tcPr><w:p><w:pPr/></w:p></w:tc><w:tc><w:tcPr><w:tcW w:w="44350" w:type="pct"/><w:noWrap/></w:tcPr><w:p><w:pPr/></w:p></w:tc><w:tc><w:tcPr><w:tcW w:w="50" w:type="pct"/><w:noWrap/></w:tcPr><w:p><w:pPr/></w:p></w:tc><w:tc><w:tcPr><w:tcW w:w="28800" w:type="pct"/><w:noWrap/></w:tcPr><w:p><w:pPr/></w:p></w:tc><w:tc><w:tcPr><w:tcW w:w="50" w:type="pct"/><w:noWrap/></w:tcPr><w:p><w:pPr/></w:p></w:tc><w:tc><w:tcPr><w:tcW w:w="44350" w:type="pct"/><w:noWrap/></w:tcPr><w:p><w:pPr/></w:p></w:tc><w:tc><w:tcPr><w:tcW w:w="50" w:type="pct"/><w:noWrap/></w:tcPr><w:p><w:pPr/></w:p></w:tc><w:tc><w:tcPr><w:tcW w:w="16850" w:type="pct"/><w:noWrap/></w:tcPr><w:p><w:pPr/></w:p></w:tc><w:tc><w:tcPr><w:tcW w:w="50" w:type="pct"/><w:noWrap/></w:tcPr><w:p><w:pPr/></w:p></w:tc><w:tc><w:tcPr><w:tcW w:w="44350" w:type="pct"/><w:noWrap/></w:tcPr><w:p><w:pPr/></w:p></w:tc><w:tc><w:tcPr><w:tcW w:w="50" w:type="pct"/><w:noWrap/></w:tcPr><w:p><w:pP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Employee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Arial" w:hAnsi="Arial" w:eastAsia="Arial" w:cs="Arial"/><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Other</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Liability balance as of December 31, 2021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2,517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Arial" w:hAnsi="Arial" w:eastAsia="Arial" w:cs="Arial"/><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651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3,168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Expenses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1,124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Arial" w:hAnsi="Arial" w:eastAsia="Arial" w:cs="Arial"/><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394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1,518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Payments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2,535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Arial" w:hAnsi="Arial" w:eastAsia="Arial" w:cs="Arial"/><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1,041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Calibri'" w:hAnsi="'Calibri'" w:eastAsia="'Calibri'" w:cs="'Calibri'"/><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3,576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Liability balance as of September 30, 2022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1,106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Arial" w:hAnsi="Arial" w:eastAsia="Arial" w:cs="Arial"/><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1,110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13. Debt Obligations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Debt obligations consisted of</w:t></w:r><w:r><w:rPr><w:rFonts w:ascii="Times New Roman" w:hAnsi="Times New Roman" w:eastAsia="Times New Roman" w:cs="Times New Roman"/><w:color w:val="000000"/><w:sz w:val="20"/><w:szCs w:val="20"/><w:b w:val="0"/><w:bCs w:val="0"/></w:rPr><w:t xml:space="preserve"> the following:</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5600" w:type="dxa"/><w:gridCol w:w="24900" w:type="dxa"/><w:gridCol w:w="50" w:type="dxa"/><w:gridCol w:w="45799999999999950" w:type="dxa"/><w:gridCol w:w="50" w:type="dxa"/><w:gridCol w:w="17900" w:type="dxa"/><w:gridCol w:w="50" w:type="dxa"/><w:gridCol w:w="45799999999999950" w:type="dxa"/><w:gridCol w:w="50" w:type="dxa"/></w:tblGrid><w:tblPr><w:tblW w:w="0" w:type="pct"/><w:tblLayout w:type="autofit"/></w:tblPr><w:tr><w:trPr/><w:tc><w:tcPr><w:tcW w:w="15600" w:type="pct"/><w:noWrap/></w:tcPr><w:p><w:pPr/></w:p></w:tc><w:tc><w:tcPr><w:tcW w:w="24900" w:type="pct"/><w:noWrap/></w:tcPr><w:p><w:pPr/></w:p></w:tc><w:tc><w:tcPr><w:tcW w:w="50" w:type="pct"/><w:noWrap/></w:tcPr><w:p><w:pPr/></w:p></w:tc><w:tc><w:tcPr><w:tcW w:w="45799999999999950" w:type="pct"/><w:noWrap/></w:tcPr><w:p><w:pPr/></w:p></w:tc><w:tc><w:tcPr><w:tcW w:w="50" w:type="pct"/><w:noWrap/></w:tcPr><w:p><w:pPr/></w:p></w:tc><w:tc><w:tcPr><w:tcW w:w="17900" w:type="pct"/><w:noWrap/></w:tcPr><w:p><w:pPr/></w:p></w:tc><w:tc><w:tcPr><w:tcW w:w="50" w:type="pct"/><w:noWrap/></w:tcPr><w:p><w:pPr/></w:p></w:tc><w:tc><w:tcPr><w:tcW w:w="457999999999999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Line of credit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Term loan</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67,969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71,250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Less debt discount and debt issuance cost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369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481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Term loan, net of debt discount and debt issuance cost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67,600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70,769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240" w:after="0"/></w:pPr><w:r><w:rPr><w:rFonts w:ascii="Times New Roman" w:hAnsi="Times New Roman" w:eastAsia="Times New Roman" w:cs="Times New Roman"/><w:color w:val="000000"/><w:sz w:val="20"/><w:szCs w:val="20"/><w:b w:val="0"/><w:bCs w:val="0"/></w:rPr><w:t xml:space="preserve">In August 2021, the Company, as borrower, its subsidiaries, as guarantors, and Silicon Valley Bank (</w:t></w:r><w:r><w:rPr><w:rFonts w:ascii="Times New Roman" w:hAnsi="Times New Roman" w:eastAsia="Times New Roman" w:cs="Times New Roman"/><w:color w:val="000000"/><w:sz w:val="20"/><w:szCs w:val="20"/><w:b w:val="0"/><w:bCs w:val="0"/></w:rPr><w:t xml:space="preserve">“SVB”),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b w:val="0"/><w:bCs w:val="0"/></w:rPr><w:t xml:space="preserve">75,000</w:t></w:r><w:r><w:rPr><w:rFonts w:ascii="Times New Roman" w:hAnsi="Times New Roman" w:eastAsia="Times New Roman" w:cs="Times New Roman"/><w:color w:val="000000"/><w:sz w:val="20"/><w:szCs w:val="20"/><w:b w:val="0"/><w:bCs w:val="0"/></w:rPr><w:t xml:space="preserve"> (the “Term Loan Facility”) and a revolving credit facility not to exceed $</w:t></w:r><w:r><w:rPr><w:rFonts w:ascii="Times New Roman" w:hAnsi="Times New Roman" w:eastAsia="Times New Roman" w:cs="Times New Roman"/><w:color w:val="000000"/><w:sz w:val="20"/><w:szCs w:val="20"/><w:b w:val="0"/><w:bCs w:val="0"/></w:rPr><w:t xml:space="preserve">125,000</w:t></w:r><w:r><w:rPr><w:rFonts w:ascii="Times New Roman" w:hAnsi="Times New Roman" w:eastAsia="Times New Roman" w:cs="Times New Roman"/><w:color w:val="000000"/><w:sz w:val="20"/><w:szCs w:val="20"/><w:b w:val="0"/><w:bCs w:val="0"/></w:rPr><w:t xml:space="preserve"> (the “Revolving Facility”). The Company’s obligations to the Lenders are secured by substantially all of the Company’s assets, including intellectual property. Capitalized terms used herein and not otherwise defined are defined as set forth in the 2021 Credit Agreement.</w:t></w:r><w:r><w:rPr><w:rFonts w:ascii="Times New Roman" w:hAnsi="Times New Roman" w:eastAsia="Times New Roman" w:cs="Times New Roman"/><w:color w:val="000000"/><w:sz w:val="20"/><w:szCs w:val="20"/><w:b w:val="0"/><w:bCs w:val="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Advances made under the 2021 Credit Agreement may be either SOFR Loans or ABR Loans, at the Company’s option. </w:t></w:r><w:r><w:rPr><w:rFonts w:ascii="Times New Roman" w:hAnsi="Times New Roman" w:eastAsia="Times New Roman" w:cs="Times New Roman"/><w:color w:val="000000"/><w:sz w:val="20"/><w:szCs w:val="20"/><w:b w:val="0"/><w:bCs w:val="0"/></w:rPr><w:t xml:space="preserve">For SOFR Loans, the interest rate is a per annum interest rate equal to the Adjusted Term SOFR plus an Applicable Margin between </w:t></w:r><w:r><w:rPr><w:rFonts w:ascii="Times New Roman" w:hAnsi="Times New Roman" w:eastAsia="Times New Roman" w:cs="Times New Roman"/><w:color w:val="000000"/><w:sz w:val="20"/><w:szCs w:val="20"/><w:b w:val="0"/><w:bCs w:val="0"/></w:rPr><w:t xml:space="preserve">2.00</w:t></w:r><w:r><w:rPr><w:rFonts w:ascii="Times New Roman" w:hAnsi="Times New Roman" w:eastAsia="Times New Roman" w:cs="Times New Roman"/><w:color w:val="000000"/><w:sz w:val="20"/><w:szCs w:val="20"/><w:b w:val="0"/><w:bCs w:val="0"/></w:rPr><w:t xml:space="preserve">% to </w:t></w:r><w:r><w:rPr><w:rFonts w:ascii="Times New Roman" w:hAnsi="Times New Roman" w:eastAsia="Times New Roman" w:cs="Times New Roman"/><w:color w:val="000000"/><w:sz w:val="20"/><w:szCs w:val="20"/><w:b w:val="0"/><w:bCs w:val="0"/></w:rPr><w:t xml:space="preserve">3.25</w:t></w:r><w:r><w:rPr><w:rFonts w:ascii="Times New Roman" w:hAnsi="Times New Roman" w:eastAsia="Times New Roman" w:cs="Times New Roman"/><w:color w:val="000000"/><w:sz w:val="20"/><w:szCs w:val="20"/><w:b w:val="0"/><w:bCs w:val="0"/></w:rPr><w:t xml:space="preserve">%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b w:val="0"/><w:bCs w:val="0"/><w:i w:val="1"/><w:iCs w:val="1"/></w:rPr><w:t xml:space="preserve">plus</w:t></w:r><w:r><w:rPr><w:rFonts w:ascii="Times New Roman" w:hAnsi="Times New Roman" w:eastAsia="Times New Roman" w:cs="Times New Roman"/><w:color w:val="000000"/><w:sz w:val="20"/><w:szCs w:val="20"/><w:b w:val="0"/><w:bCs w:val="0"/></w:rPr><w:t xml:space="preserve"> (2) an Applicable Margin between </w:t></w:r><w:r><w:rPr><w:rFonts w:ascii="Times New Roman" w:hAnsi="Times New Roman" w:eastAsia="Times New Roman" w:cs="Times New Roman"/><w:color w:val="000000"/><w:sz w:val="20"/><w:szCs w:val="20"/><w:b w:val="0"/><w:bCs w:val="0"/></w:rPr><w:t xml:space="preserve">1.00</w:t></w:r><w:r><w:rPr><w:rFonts w:ascii="Times New Roman" w:hAnsi="Times New Roman" w:eastAsia="Times New Roman" w:cs="Times New Roman"/><w:color w:val="000000"/><w:sz w:val="20"/><w:szCs w:val="20"/><w:b w:val="0"/><w:bCs w:val="0"/></w:rPr><w:t xml:space="preserve">% to </w:t></w:r><w:r><w:rPr><w:rFonts w:ascii="Times New Roman" w:hAnsi="Times New Roman" w:eastAsia="Times New Roman" w:cs="Times New Roman"/><w:color w:val="000000"/><w:sz w:val="20"/><w:szCs w:val="20"/><w:b w:val="0"/><w:bCs w:val="0"/></w:rPr><w:t xml:space="preserve">2.25</w:t></w:r><w:r><w:rPr><w:rFonts w:ascii="Times New Roman" w:hAnsi="Times New Roman" w:eastAsia="Times New Roman" w:cs="Times New Roman"/><w:color w:val="000000"/><w:sz w:val="20"/><w:szCs w:val="20"/><w:b w:val="0"/><w:bCs w:val="0"/></w:rPr><w:t xml:space="preserve">% based on the Total Net Leverage Ratio. On September 30, 2023, the applicable interest rate for outstanding borrowings is </w:t></w:r><w:r><w:rPr><w:rFonts w:ascii="Times New Roman" w:hAnsi="Times New Roman" w:eastAsia="Times New Roman" w:cs="Times New Roman"/><w:color w:val="000000"/><w:sz w:val="20"/><w:szCs w:val="20"/><w:b w:val="0"/><w:bCs w:val="0"/></w:rPr><w:t xml:space="preserve">7.43</w:t></w:r><w:r><w:rPr><w:rFonts w:ascii="Times New Roman" w:hAnsi="Times New Roman" w:eastAsia="Times New Roman" w:cs="Times New Roman"/><w:color w:val="000000"/><w:sz w:val="20"/><w:szCs w:val="20"/><w:b w:val="0"/><w:bCs w:val="0"/></w:rPr><w:t xml:space="preserve">%.</w:t></w:r></w:p><w:p><w:pPr><w:jc w:val="start"/><w:ind w:left="0" w:right="0" w:firstLine="0" w:hanging="0"/><w:spacing w:before="240" w:after="0"/></w:pPr><w:r><w:rPr><w:rFonts w:ascii="Times New Roman" w:hAnsi="Times New Roman" w:eastAsia="Times New Roman" w:cs="Times New Roman"/><w:color w:val="000000"/><w:sz w:val="20"/><w:szCs w:val="20"/><w:b w:val="0"/><w:bCs w:val="0"/></w:rPr><w:t xml:space="preserve">The 2021 Credit Agreement requires the Company to make consecutive quarterly installment payments equal to the following: (a) from September 30, 2021 through and including June 30, 2022, $</w:t></w:r><w:r><w:rPr><w:rFonts w:ascii="Times New Roman" w:hAnsi="Times New Roman" w:eastAsia="Times New Roman" w:cs="Times New Roman"/><w:color w:val="000000"/><w:sz w:val="20"/><w:szCs w:val="20"/><w:b w:val="0"/><w:bCs w:val="0"/></w:rPr><w:t xml:space="preserve">469</w:t></w:r><w:r><w:rPr><w:rFonts w:ascii="Times New Roman" w:hAnsi="Times New Roman" w:eastAsia="Times New Roman" w:cs="Times New Roman"/><w:color w:val="000000"/><w:sz w:val="20"/><w:szCs w:val="20"/><w:b w:val="0"/><w:bCs w:val="0"/></w:rPr><w:t xml:space="preserve">; (b) from September 30, 2022 through and including June 30, 2023, $</w:t></w:r><w:r><w:rPr><w:rFonts w:ascii="Times New Roman" w:hAnsi="Times New Roman" w:eastAsia="Times New Roman" w:cs="Times New Roman"/><w:color w:val="000000"/><w:sz w:val="20"/><w:szCs w:val="20"/><w:b w:val="0"/><w:bCs w:val="0"/></w:rPr><w:t xml:space="preserve">938</w:t></w:r><w:r><w:rPr><w:rFonts w:ascii="Times New Roman" w:hAnsi="Times New Roman" w:eastAsia="Times New Roman" w:cs="Times New Roman"/><w:color w:val="000000"/><w:sz w:val="20"/><w:szCs w:val="20"/><w:b w:val="0"/><w:bCs w:val="0"/></w:rPr><w:t xml:space="preserve">; (c) from September 30, 2023 through and including June 30, 2025, $</w:t></w:r><w:r><w:rPr><w:rFonts w:ascii="Times New Roman" w:hAnsi="Times New Roman" w:eastAsia="Times New Roman" w:cs="Times New Roman"/><w:color w:val="000000"/><w:sz w:val="20"/><w:szCs w:val="20"/><w:b w:val="0"/><w:bCs w:val="0"/></w:rPr><w:t xml:space="preserve">1,406</w:t></w:r><w:r><w:rPr><w:rFonts w:ascii="Times New Roman" w:hAnsi="Times New Roman" w:eastAsia="Times New Roman" w:cs="Times New Roman"/><w:color w:val="000000"/><w:sz w:val="20"/><w:szCs w:val="20"/><w:b w:val="0"/><w:bCs w:val="0"/></w:rPr><w:t xml:space="preserve"> and (d) from September 30, 2025 and the last day of each quarter thereafter until August 6, 2026 (the “Term Loan Maturity Date”), $</w:t></w:r><w:r><w:rPr><w:rFonts w:ascii="Times New Roman" w:hAnsi="Times New Roman" w:eastAsia="Times New Roman" w:cs="Times New Roman"/><w:color w:val="000000"/><w:sz w:val="20"/><w:szCs w:val="20"/><w:b w:val="0"/><w:bCs w:val="0"/></w:rPr><w:t xml:space="preserve">1,875</w:t></w:r><w:r><w:rPr><w:rFonts w:ascii="Times New Roman" w:hAnsi="Times New Roman" w:eastAsia="Times New Roman" w:cs="Times New Roman"/><w:color w:val="000000"/><w:sz w:val="20"/><w:szCs w:val="20"/><w:b w:val="0"/><w:bCs w:val="0"/></w:rPr><w:t xml:space="preserve">. The remaining principal balance of $</w:t></w:r><w:r><w:rPr><w:rFonts w:ascii="Times New Roman" w:hAnsi="Times New Roman" w:eastAsia="Times New Roman" w:cs="Times New Roman"/><w:color w:val="000000"/><w:sz w:val="20"/><w:szCs w:val="20"/><w:b w:val="0"/><w:bCs w:val="0"/></w:rPr><w:t xml:space="preserve">50,625</w:t></w:r><w:r><w:rPr><w:rFonts w:ascii="Times New Roman" w:hAnsi="Times New Roman" w:eastAsia="Times New Roman" w:cs="Times New Roman"/><w:color w:val="000000"/><w:sz w:val="20"/><w:szCs w:val="20"/><w:b w:val="0"/><w:bCs w:val="0"/></w:rPr><w:t xml:space="preserve"> is also due on the Term Loan Maturity Date. The Company may prepay the Term Loan Facility. Once repaid, amounts borrowed under the Term Loan Facility may not be re-borrowed.</w:t></w:r></w:p><w:p><w:pPr><w:jc w:val="start"/><w:ind w:left="0" w:right="0" w:firstLine="0" w:hanging="0"/><w:spacing w:before="240" w:after="0"/></w:pPr><w:r><w:rPr><w:rFonts w:ascii="Times New Roman" w:hAnsi="Times New Roman" w:eastAsia="Times New Roman" w:cs="Times New Roman"/><w:color w:val="000000"/><w:sz w:val="20"/><w:szCs w:val="20"/><w:b w:val="0"/><w:bCs w:val="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b w:val="0"/><w:bCs w:val="0"/></w:rPr><w:t xml:space="preserve">0.25</w:t></w:r><w:r><w:rPr><w:rFonts w:ascii="Times New Roman" w:hAnsi="Times New Roman" w:eastAsia="Times New Roman" w:cs="Times New Roman"/><w:color w:val="000000"/><w:sz w:val="20"/><w:szCs w:val="20"/><w:b w:val="0"/><w:bCs w:val="0"/></w:rPr><w:t xml:space="preserve">% to </w:t></w:r><w:r><w:rPr><w:rFonts w:ascii="Times New Roman" w:hAnsi="Times New Roman" w:eastAsia="Times New Roman" w:cs="Times New Roman"/><w:color w:val="000000"/><w:sz w:val="20"/><w:szCs w:val="20"/><w:b w:val="0"/><w:bCs w:val="0"/></w:rPr><w:t xml:space="preserve">0.45</w:t></w:r><w:r><w:rPr><w:rFonts w:ascii="Times New Roman" w:hAnsi="Times New Roman" w:eastAsia="Times New Roman" w:cs="Times New Roman"/><w:color w:val="000000"/><w:sz w:val="20"/><w:szCs w:val="20"/><w:b w:val="0"/><w:bCs w:val="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240" w:after="0"/></w:pPr><w:r><w:rPr><w:rFonts w:ascii="Times New Roman" w:hAnsi="Times New Roman" w:eastAsia="Times New Roman" w:cs="Times New Roman"/><w:color w:val="000000"/><w:sz w:val="20"/><w:szCs w:val="20"/><w:b w:val="0"/><w:bCs w:val="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w:t></w:r><w:r><w:rPr><w:rFonts w:ascii="Times New Roman" w:hAnsi="Times New Roman" w:eastAsia="Times New Roman" w:cs="Times New Roman"/><w:color w:val="000000"/><w:sz w:val="20"/><w:szCs w:val="20"/><w:b w:val="0"/><w:bCs w:val="0"/></w:rPr><w:t xml:space="preserve">ompany recorded debt issuance costs and related fees of $</w:t></w:r><w:r><w:rPr><w:rFonts w:ascii="Times New Roman" w:hAnsi="Times New Roman" w:eastAsia="Times New Roman" w:cs="Times New Roman"/><w:color w:val="000000"/><w:sz w:val="20"/><w:szCs w:val="20"/><w:b w:val="0"/><w:bCs w:val="0"/></w:rPr><w:t xml:space="preserve">604</w:t></w:r><w:r><w:rPr><w:rFonts w:ascii="Times New Roman" w:hAnsi="Times New Roman" w:eastAsia="Times New Roman" w:cs="Times New Roman"/><w:color w:val="000000"/><w:sz w:val="20"/><w:szCs w:val="20"/><w:b w:val="0"/><w:bCs w:val="0"/></w:rPr><w:t xml:space="preserve"> in connection with entering into the Term Loan Facility, as a reduction of the carrying value of the term loan on the Company’s condensed consolidated balance sheets. In connection with entering into the Revolving Facility, the Company recorded debt issuance costs and related fees of $</w:t></w:r><w:r><w:rPr><w:rFonts w:ascii="Times New Roman" w:hAnsi="Times New Roman" w:eastAsia="Times New Roman" w:cs="Times New Roman"/><w:color w:val="000000"/><w:sz w:val="20"/><w:szCs w:val="20"/><w:b w:val="0"/><w:bCs w:val="0"/></w:rPr><w:t xml:space="preserve">1,223</w:t></w:r><w:r><w:rPr><w:rFonts w:ascii="Times New Roman" w:hAnsi="Times New Roman" w:eastAsia="Times New Roman" w:cs="Times New Roman"/><w:color w:val="000000"/><w:sz w:val="20"/><w:szCs w:val="20"/><w:b w:val="0"/><w:bCs w:val="0"/></w:rPr><w:t xml:space="preserve"> as other assets. Both of these costs are being amortized to interest expense through the maturity date of the facilities.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of September 30, 2023 and December 31, 2022, the Company had outstanding borrowings of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67,969</w:t></w:r><w:r><w:rPr><w:rFonts w:ascii="Times New Roman" w:hAnsi="Times New Roman" w:eastAsia="Times New Roman" w:cs="Times New Roman"/><w:color w:val="000000"/><w:sz w:val="20"/><w:szCs w:val="20"/><w:b w:val="0"/><w:bCs w:val="0"/></w:rPr><w:t xml:space="preserve"> an</w:t></w:r><w:r><w:rPr><w:rFonts w:ascii="Times New Roman" w:hAnsi="Times New Roman" w:eastAsia="Times New Roman" w:cs="Times New Roman"/><w:color w:val="000000"/><w:sz w:val="20"/><w:szCs w:val="20"/><w:b w:val="0"/><w:bCs w:val="0"/></w:rPr><w:t xml:space="preserve">d $</w:t></w:r><w:r><w:rPr><w:rFonts w:ascii="Times New Roman" w:hAnsi="Times New Roman" w:eastAsia="Times New Roman" w:cs="Times New Roman"/><w:color w:val="000000"/><w:sz w:val="20"/><w:szCs w:val="20"/><w:b w:val="0"/><w:bCs w:val="0"/></w:rPr><w:t xml:space="preserve">71,250</w:t></w:r><w:r><w:rPr><w:rFonts w:ascii="Times New Roman" w:hAnsi="Times New Roman" w:eastAsia="Times New Roman" w:cs="Times New Roman"/><w:color w:val="000000"/><w:sz w:val="20"/><w:szCs w:val="20"/><w:b w:val="0"/><w:bCs w:val="0"/></w:rPr><w:t xml:space="preserve"> under the Term Loan Facility, respectively, and $</w:t></w:r><w:r><w:rPr><w:rFonts w:ascii="Times New Roman" w:hAnsi="Times New Roman" w:eastAsia="Times New Roman" w:cs="Times New Roman"/><w:color w:val="000000"/><w:sz w:val="20"/><w:szCs w:val="20"/><w:b w:val="0"/><w:bCs w:val="0"/></w:rPr><w:t xml:space="preserve">0</w:t></w:r><w:r><w:rPr><w:rFonts w:ascii="Times New Roman" w:hAnsi="Times New Roman" w:eastAsia="Times New Roman" w:cs="Times New Roman"/><w:color w:val="000000"/><w:sz w:val="20"/><w:szCs w:val="20"/><w:b w:val="0"/><w:bCs w:val="0"/></w:rPr><w:t xml:space="preserve"> under the Revolving Facility with $</w:t></w:r><w:r><w:rPr><w:rFonts w:ascii="Times New Roman" w:hAnsi="Times New Roman" w:eastAsia="Times New Roman" w:cs="Times New Roman"/><w:color w:val="000000"/><w:sz w:val="20"/><w:szCs w:val="20"/><w:b w:val="0"/><w:bCs w:val="0"/></w:rPr><w:t xml:space="preserve">125,000</w:t></w:r><w:r><w:rPr><w:rFonts w:ascii="Times New Roman" w:hAnsi="Times New Roman" w:eastAsia="Times New Roman" w:cs="Times New Roman"/><w:color w:val="000000"/><w:sz w:val="20"/><w:szCs w:val="20"/><w:b w:val="0"/><w:bCs w:val="0"/></w:rPr><w:t xml:space="preserve"> available for future revolving borrowings.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Future payments of the 2021 Credit Agreement, as of </w:t></w:r><w:r><w:rPr><w:rFonts w:ascii="Times New Roman" w:hAnsi="Times New Roman" w:eastAsia="Times New Roman" w:cs="Times New Roman"/><w:color w:val="000000"/><w:sz w:val="20"/><w:szCs w:val="20"/><w:b w:val="0"/><w:bCs w:val="0"/></w:rPr><w:t xml:space="preserve">September 30, 2023, are as follows for the calendar years ending December 31:</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4400" w:type="dxa"/><w:gridCol w:w="40050" w:type="dxa"/><w:gridCol w:w="50" w:type="dxa"/><w:gridCol w:w="35549999999999950" w:type="dxa"/><w:gridCol w:w="50" w:type="dxa"/></w:tblGrid><w:tblPr><w:tblW w:w="0" w:type="pct"/><w:tblLayout w:type="autofit"/></w:tblPr><w:tr><w:trPr/><w:tc><w:tcPr><w:tcW w:w="24400" w:type="pct"/><w:noWrap/></w:tcPr><w:p><w:pPr/></w:p></w:tc><w:tc><w:tcPr><w:tcW w:w="40050" w:type="pct"/><w:noWrap/></w:tcPr><w:p><w:pPr/></w:p></w:tc><w:tc><w:tcPr><w:tcW w:w="50" w:type="pct"/><w:noWrap/></w:tcPr><w:p><w:pPr/></w:p></w:tc><w:tc><w:tcPr><w:tcW w:w="35549999999999950" w:type="pct"/><w:noWrap/></w:tcPr><w:p><w:pPr/></w:p></w:tc><w:tc><w:tcPr><w:tcW w:w="50" w:type="pct"/><w:noWrap/></w:tcPr><w:p><w:pPr/></w:p></w:tc></w:tr><w:tr><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2023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1,406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2024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5,625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2025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6,563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2026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54,375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67,969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14. Stockholders’ Equity</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of September 30, 2023</w:t></w:r><w:r><w:rPr><w:rFonts w:ascii="Times New Roman" w:hAnsi="Times New Roman" w:eastAsia="Times New Roman" w:cs="Times New Roman"/><w:color w:val="000000"/><w:sz w:val="20"/><w:szCs w:val="20"/><w:b w:val="0"/><w:bCs w:val="0"/></w:rPr><w:t xml:space="preserve">, the issued shares of Class A common stock include </w:t></w:r><w:r><w:rPr><w:rFonts w:ascii="Times New Roman" w:hAnsi="Times New Roman" w:eastAsia="Times New Roman" w:cs="Times New Roman"/><w:color w:val="000000"/><w:sz w:val="20"/><w:szCs w:val="20"/><w:b w:val="0"/><w:bCs w:val="0"/></w:rPr><w:t xml:space="preserve">728,548</w:t></w:r><w:r><w:rPr><w:rFonts w:ascii="Times New Roman" w:hAnsi="Times New Roman" w:eastAsia="Times New Roman" w:cs="Times New Roman"/><w:color w:val="000000"/><w:sz w:val="20"/><w:szCs w:val="20"/><w:b w:val="0"/><w:bCs w:val="0"/></w:rPr><w:t xml:space="preserve"> treasury shares that were reacquired in connection with the redemption of redeemable shares in March 2019.</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of </w:t></w:r><w:r><w:rPr><w:rFonts w:ascii="Times New Roman" w:hAnsi="Times New Roman" w:eastAsia="Times New Roman" w:cs="Times New Roman"/><w:color w:val="000000"/><w:sz w:val="20"/><w:szCs w:val="20"/><w:b w:val="0"/><w:bCs w:val="0"/></w:rPr><w:t xml:space="preserve">September 30, 2023 and December 31, 2022, the Company reserved the following shares of Class A common stock for future issuance:</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800" w:type="dxa"/><w:gridCol w:w="50" w:type="dxa"/><w:gridCol w:w="50" w:type="dxa"/><w:gridCol w:w="3200" w:type="dxa"/><w:gridCol w:w="50" w:type="dxa"/><w:gridCol w:w="50" w:type="dxa"/><w:gridCol w:w="50" w:type="dxa"/><w:gridCol w:w="400" w:type="dxa"/><w:gridCol w:w="50" w:type="dxa"/></w:tblGrid><w:tblPr><w:tblW w:w="0" w:type="pct"/><w:tblLayout w:type="autofit"/></w:tblPr><w:tr><w:trPr/><w:tc><w:tcPr><w:tcW w:w="2800" w:type="pct"/><w:noWrap/></w:tcPr><w:p><w:pPr/></w:p></w:tc><w:tc><w:tcPr><w:tcW w:w="50" w:type="pct"/><w:noWrap/></w:tcPr><w:p><w:pPr/></w:p></w:tc><w:tc><w:tcPr><w:tcW w:w="50" w:type="pct"/><w:noWrap/></w:tcPr><w:p><w:pPr/></w:p></w:tc><w:tc><w:tcPr><w:tcW w:w="3200" w:type="pct"/><w:noWrap/></w:tcPr><w:p><w:pPr/></w:p></w:tc><w:tc><w:tcPr><w:tcW w:w="50" w:type="pct"/><w:noWrap/></w:tcPr><w:p><w:pPr/></w:p></w:tc><w:tc><w:tcPr><w:tcW w:w="50" w:type="pct"/><w:noWrap/></w:tcPr><w:p><w:pPr/></w:p></w:tc><w:tc><w:tcPr><w:tcW w:w="50" w:type="pct"/><w:noWrap/></w:tcPr><w:p><w:pPr/></w:p></w:tc><w:tc><w:tcPr><w:tcW w:w="40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Shares reserved for issuance for outstanding options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9,370,314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5,931,742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Shares reserved for issuance for outstanding restricted stock units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3,969,953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1,381,500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Shares reserved for issuance for future grants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4,924,835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11,394,962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Total shares of authorized common stock reserved for future</w:t></w:r><w:r><w:rPr><w:rFonts w:ascii="'Calibri'" w:hAnsi="'Calibri'" w:eastAsia="'Calibri'" w:cs="'Calibri'"/><w:color w:val="000000"/><w:sz w:val="20"/><w:szCs w:val="20"/><w:b w:val="0"/><w:bCs w:val="0"/><w:shd w:val="clear" w:fill="ffffff"/></w:rPr><w:t xml:space="preserve"> </w:t></w:r><w:r><w:rPr><w:rFonts w:ascii="Times New Roman" w:hAnsi="Times New Roman" w:eastAsia="Times New Roman" w:cs="Times New Roman"/><w:color w:val="000000"/><w:sz w:val="20"/><w:szCs w:val="20"/><w:b w:val="0"/><w:bCs w:val="0"/><w:shd w:val="clear" w:fill="ffffff"/></w:rPr><w:t xml:space="preserve">issuance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18,265,102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18,708,204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160" w:after="0"/></w:pPr><w:r><w:rPr><w:rFonts w:ascii="Times New Roman" w:hAnsi="Times New Roman" w:eastAsia="Times New Roman" w:cs="Times New Roman"/><w:color w:val="000000"/><w:sz w:val="20"/><w:szCs w:val="20"/><w:b w:val="1"/><w:bCs w:val="1"/></w:rPr><w:t xml:space="preserve">15. Stock-Based Compensation</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Stock Incentive Plans-the 2018 Plan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2018 Plan authorizes the Company’s Board of Directors or a committee of not less than two independent directors (in either case, the “Administrator”) to grant the following types of awards: non-statutory stock options; incentive stock options; restricted stock awards; restricted stock units; stock appreciation rights; unrestricted stock awards; performance share awards; and dividend equivalent rights. The 2018 Plan is administered by the Company’s Board of Directors.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At the adoption of the 2018 Plan, a total of </w:t></w:r><w:r><w:rPr><w:rFonts w:ascii="Times New Roman" w:hAnsi="Times New Roman" w:eastAsia="Times New Roman" w:cs="Times New Roman"/><w:color w:val="000000"/><w:sz w:val="20"/><w:szCs w:val="20"/><w:b w:val="0"/><w:bCs w:val="0"/></w:rPr><w:t xml:space="preserve">9,198,996</w:t></w:r><w:r><w:rPr><w:rFonts w:ascii="Times New Roman" w:hAnsi="Times New Roman" w:eastAsia="Times New Roman" w:cs="Times New Roman"/><w:color w:val="000000"/><w:sz w:val="20"/><w:szCs w:val="20"/><w:b w:val="0"/><w:bCs w:val="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b w:val="0"/><w:bCs w:val="0"/></w:rPr><w:t xml:space="preserve">7,826,970</w:t></w:r><w:r><w:rPr><w:rFonts w:ascii="Times New Roman" w:hAnsi="Times New Roman" w:eastAsia="Times New Roman" w:cs="Times New Roman"/><w:color w:val="000000"/><w:sz w:val="20"/><w:szCs w:val="20"/><w:b w:val="0"/><w:bCs w:val="0"/></w:rPr><w:t xml:space="preserve"> shares.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Stock Incentive Plans-the 2003 Plan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Organogenesis 2003 Stock Incentive Plan (the “2003 Plan”), provides for the Company to issue restricted stock awards, or to grant incentive stock options or non-statutory stock options. Incentive stock options may be granted only to the Company’s employees. Restricted stock awards and non-statutory stock options may be granted to employees, members of the Board of Directors, outside advisors and consultants of the Company.</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Effective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Class A common stock that are tendered to the Company by a participant to exercise an award will not be available for future awards.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b w:val="0"/><w:bCs w:val="0"/></w:rPr><w:t xml:space="preserve">Stock options awarded under the stock incentive plans expire </w:t></w:r><w:r><w:rPr><w:rFonts w:ascii="Times New Roman" w:hAnsi="Times New Roman" w:eastAsia="Times New Roman" w:cs="Times New Roman"/><w:color w:val="000000"/><w:sz w:val="20"/><w:szCs w:val="20"/><w:b w:val="0"/><w:bCs w:val="0"/></w:rPr><w:t xml:space="preserve">10</w:t></w:r><w:r><w:rPr><w:rFonts w:ascii="Times New Roman" w:hAnsi="Times New Roman" w:eastAsia="Times New Roman" w:cs="Times New Roman"/><w:color w:val="000000"/><w:sz w:val="20"/><w:szCs w:val="20"/><w:b w:val="0"/><w:bCs w:val="0"/></w:rPr><w:t xml:space="preserve"> years after the grant date and typically vest over </w:t></w:r><w:r><w:rPr><w:rFonts w:ascii="Times New Roman" w:hAnsi="Times New Roman" w:eastAsia="Times New Roman" w:cs="Times New Roman"/><w:color w:val="000000"/><w:sz w:val="20"/><w:szCs w:val="20"/><w:b w:val="0"/><w:bCs w:val="0"/></w:rPr><w:t xml:space="preserve">four</w:t></w:r><w:r><w:rPr><w:rFonts w:ascii="Times New Roman" w:hAnsi="Times New Roman" w:eastAsia="Times New Roman" w:cs="Times New Roman"/><w:color w:val="000000"/><w:sz w:val="20"/><w:szCs w:val="20"/><w:b w:val="0"/><w:bCs w:val="0"/></w:rPr><w:t xml:space="preserve"> or </w:t></w:r><w:r><w:rPr><w:rFonts w:ascii="Times New Roman" w:hAnsi="Times New Roman" w:eastAsia="Times New Roman" w:cs="Times New Roman"/><w:color w:val="000000"/><w:sz w:val="20"/><w:szCs w:val="20"/><w:b w:val="0"/><w:bCs w:val="0"/></w:rPr><w:t xml:space="preserve">five years</w:t></w:r><w:r><w:rPr><w:rFonts w:ascii="Times New Roman" w:hAnsi="Times New Roman" w:eastAsia="Times New Roman" w:cs="Times New Roman"/><w:color w:val="000000"/><w:sz w:val="20"/><w:szCs w:val="20"/><w:b w:val="0"/><w:bCs w:val="0"/></w:rPr><w:t xml:space="preserve">. Restricted stock units awarded typically vest over four years.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Stock-based compensation expense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2,417</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1,702</w:t></w:r><w:r><w:rPr><w:rFonts w:ascii="Times New Roman" w:hAnsi="Times New Roman" w:eastAsia="Times New Roman" w:cs="Times New Roman"/><w:color w:val="000000"/><w:sz w:val="20"/><w:szCs w:val="20"/><w:b w:val="0"/><w:bCs w:val="0"/></w:rPr><w:t xml:space="preserve"> for the </w:t></w:r><w:r><w:rPr><w:rFonts w:ascii="Times New Roman" w:hAnsi="Times New Roman" w:eastAsia="Times New Roman" w:cs="Times New Roman"/><w:color w:val="000000"/><w:sz w:val="20"/><w:szCs w:val="20"/><w:b w:val="0"/><w:bCs w:val="0"/></w:rPr><w:t xml:space="preserve">three months ended September 30, 2023 and 2022, respectively, and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6,630</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4,697</w:t></w:r><w:r><w:rPr><w:rFonts w:ascii="Times New Roman" w:hAnsi="Times New Roman" w:eastAsia="Times New Roman" w:cs="Times New Roman"/><w:color w:val="000000"/><w:sz w:val="20"/><w:szCs w:val="20"/><w:b w:val="0"/><w:bCs w:val="0"/></w:rPr><w:t xml:space="preserve"> for the </w:t></w:r><w:r><w:rPr><w:rFonts w:ascii="Times New Roman" w:hAnsi="Times New Roman" w:eastAsia="Times New Roman" w:cs="Times New Roman"/><w:color w:val="000000"/><w:sz w:val="20"/><w:szCs w:val="20"/><w:b w:val="0"/><w:bCs w:val="0"/></w:rPr><w:t xml:space="preserve">nine months ended September 30, 2023 and 2022, respectively. The total amount of stock-based compensation expense was included within selling, general and administrative expenses on the condensed consolidated statements of operations.</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granted</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3,192,372</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979,257</w:t></w:r><w:r><w:rPr><w:rFonts w:ascii="Times New Roman" w:hAnsi="Times New Roman" w:eastAsia="Times New Roman" w:cs="Times New Roman"/><w:color w:val="000000"/><w:sz w:val="20"/><w:szCs w:val="20"/><w:b w:val="0"/><w:bCs w:val="0"/></w:rPr><w:t xml:space="preserve"> time</w:t></w:r><w:r><w:rPr><w:rFonts w:ascii="Times New Roman" w:hAnsi="Times New Roman" w:eastAsia="Times New Roman" w:cs="Times New Roman"/><w:color w:val="000000"/><w:sz w:val="20"/><w:szCs w:val="20"/><w:b w:val="0"/><w:bCs w:val="0"/></w:rPr><w:t xml:space="preserve">-based restricted stock units to its employees, executives and the Board of Directors in the nine months ended September 30, 2023 and 2022, respectively. Each restricted stock unit represents the contingent right to receive one share of the Company’s Class A common stock. A majority of the restricted stock units will vest in four equal annual installments.</w:t></w:r><w:r><w:rPr><w:rFonts w:ascii="'Century Gothic'" w:hAnsi="'Century Gothic'" w:eastAsia="'Century Gothic'" w:cs="'Century Gothic'"/><w:color w:val="212529"/><w:sz w:val="20"/><w:szCs w:val="20"/><w:b w:val="0"/><w:bCs w:val="0"/></w:rPr><w:t xml:space="preserve"> </w:t></w:r><w:r><w:rPr><w:rFonts w:ascii="Times New Roman" w:hAnsi="Times New Roman" w:eastAsia="Times New Roman" w:cs="Times New Roman"/><w:color w:val="000000"/><w:sz w:val="20"/><w:szCs w:val="20"/><w:b w:val="0"/><w:bCs w:val="0"/></w:rPr><w:t xml:space="preserve">The fair value of the restricted stock units was based on the fair market value of the Company’s stock on the date of grant.</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activity of restricted stock un</w:t></w:r><w:r><w:rPr><w:rFonts w:ascii="Times New Roman" w:hAnsi="Times New Roman" w:eastAsia="Times New Roman" w:cs="Times New Roman"/><w:color w:val="000000"/><w:sz w:val="20"/><w:szCs w:val="20"/><w:b w:val="0"/><w:bCs w:val="0"/></w:rPr><w:t xml:space="preserve">its is set forth below:</w:t></w:r></w:p><w:p><w:pPr><w:jc w:val="start"/><w:ind w:left="0" w:right="0" w:firstLine="0" w:hanging="0"/><w:spacing w:before="0" w:after="0"/></w:pPr><w:r><w:rPr><w:rFonts w:ascii="Times New Roman" w:hAnsi="Times New Roman" w:eastAsia="Times New Roman" w:cs="Times New Roman"/><w:sz w:val="24"/><w:szCs w:val="24"/></w:rPr><w:t xml:space="preserve"> </w:t></w:r></w:p><w:tbl><w:tblGrid><w:gridCol w:w="17300" w:type="dxa"/><w:gridCol w:w="1950" w:type="dxa"/><w:gridCol w:w="50" w:type="dxa"/><w:gridCol w:w="23350" w:type="dxa"/><w:gridCol w:w="50" w:type="dxa"/><w:gridCol w:w="17950" w:type="dxa"/><w:gridCol w:w="50" w:type="dxa"/><w:gridCol w:w="39399999999999900" w:type="dxa"/><w:gridCol w:w="50" w:type="dxa"/></w:tblGrid><w:tblPr><w:tblW w:w="0" w:type="pct"/><w:tblLayout w:type="autofit"/></w:tblPr><w:tr><w:trPr/><w:tc><w:tcPr><w:tcW w:w="17300" w:type="pct"/><w:noWrap/></w:tcPr><w:p><w:pPr/></w:p></w:tc><w:tc><w:tcPr><w:tcW w:w="1950" w:type="pct"/><w:noWrap/></w:tcPr><w:p><w:pPr/></w:p></w:tc><w:tc><w:tcPr><w:tcW w:w="50" w:type="pct"/><w:noWrap/></w:tcPr><w:p><w:pPr/></w:p></w:tc><w:tc><w:tcPr><w:tcW w:w="23350" w:type="pct"/><w:noWrap/></w:tcPr><w:p><w:pPr/></w:p></w:tc><w:tc><w:tcPr><w:tcW w:w="50" w:type="pct"/><w:noWrap/></w:tcPr><w:p><w:pPr/></w:p></w:tc><w:tc><w:tcPr><w:tcW w:w="17950" w:type="pct"/><w:noWrap/></w:tcPr><w:p><w:pPr/></w:p></w:tc><w:tc><w:tcPr><w:tcW w:w="50" w:type="pct"/><w:noWrap/></w:tcPr><w:p><w:pPr/></w:p></w:tc><w:tc><w:tcPr><w:tcW w:w="39399999999999900" w:type="pct"/><w:noWrap/></w:tcPr><w:p><w:pPr/></w:p></w:tc><w:tc><w:tcPr><w:tcW w:w="50" w:type="pct"/><w:noWrap/></w:tcPr><w:p><w:pPr/></w:p></w:tc></w:tr><w:tr><w:trPr><w:trHeight w:val="180" w:hRule="exact"/></w:trPr><w:tc><w:tcPr><w:tcW w:w="0" w:type="pct"/><w:vAlign w:val="center"/><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center"/><w:shd w:val="clear" w:fill="ffffff"/><w:gridSpan w:val="3"/><w:noWrap/></w:tcPr><w:p><w:pPr><w:jc w:val="center"/><w:ind w:left="0" w:right="0" w:firstLine="0" w:hanging="0"/><w:spacing w:before="0" w:after="0"/></w:pPr><w:r><w:rPr><w:rFonts w:ascii="Times New Roman" w:hAnsi="Times New Roman" w:eastAsia="Times New Roman" w:cs="Times New Roman"/><w:color w:val="000000"/><w:sz w:val="18"/><w:szCs w:val="18"/><w:b w:val="1"/><w:bCs w:val="1"/><w:shd w:val="clear" w:fill="ffffff"/></w:rPr><w:t xml:space="preserve">Number</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8"/><w:szCs w:val="18"/><w:b w:val="1"/><w:bCs w:val="1"/><w:shd w:val="clear" w:fill="ffffff"/></w:rPr><w:t xml:space="preserve">Weighted Average</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center"/><w:shd w:val="clear" w:fill="ffffff"/><w:gridSpan w:val="3"/><w:noWrap/></w:tcPr><w:p><w:pPr><w:jc w:val="center"/><w:ind w:left="0" w:right="0" w:firstLine="0" w:hanging="0"/><w:spacing w:before="0" w:after="0"/></w:pPr><w:r><w:rPr><w:rFonts w:ascii="Times New Roman" w:hAnsi="Times New Roman" w:eastAsia="Times New Roman" w:cs="Times New Roman"/><w:color w:val="000000"/><w:sz w:val="18"/><w:szCs w:val="18"/><w:b w:val="1"/><w:bCs w:val="1"/><w:shd w:val="clear" w:fill="ffffff"/></w:rPr><w:t xml:space="preserve">of RSUs</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8"/><w:szCs w:val="18"/><w:b w:val="1"/><w:bCs w:val="1"/><w:shd w:val="clear" w:fill="ffffff"/></w:rPr><w:t xml:space="preserve">Grant Date</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gridSpan w:val="3"/><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bottom"/><w:shd w:val="clear" w:fill="ffffff"/><w:noWrap/></w:tcPr><w:p><w:pPr><w:jc w:val="start"/><w:ind w:left="0" w:right="0" w:firstLine="0" w:hanging="0"/><w:spacing w:before="0" w:after="0"/></w:pPr><w:r><w:rPr><w:rFonts w:ascii="'Calibri'" w:hAnsi="'Calibri'" w:eastAsia="'Calibri'" w:cs="'Calibri'"/><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8"/><w:szCs w:val="18"/><w:b w:val="1"/><w:bCs w:val="1"/><w:shd w:val="clear" w:fill="ffffff"/></w:rPr><w:t xml:space="preserve">Fair Value</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8"/><w:szCs w:val="18"/><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Unvested at December 31, 2022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1,381,500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7.62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Granted</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3,192,372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2.47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Vested</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518,871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7.26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Canceled/Forfeited</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85,048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5.95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Unvested at September 30, 2023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3,969,953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3.56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b w:val="0"/><w:bCs w:val="0"/></w:rPr><w:t xml:space="preserve">As of September 30, 2023, the total unrecognized compensation cost related to unvested restricted stock units expected to vest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8,521</w:t></w:r><w:r><w:rPr><w:rFonts w:ascii="Times New Roman" w:hAnsi="Times New Roman" w:eastAsia="Times New Roman" w:cs="Times New Roman"/><w:color w:val="000000"/><w:sz w:val="20"/><w:szCs w:val="20"/><w:b w:val="0"/><w:bCs w:val="0"/></w:rPr><w:t xml:space="preserve"> and the weighted average remaining recognition period for unvested awards was </w:t></w:r><w:r><w:rPr><w:rFonts w:ascii="Times New Roman" w:hAnsi="Times New Roman" w:eastAsia="Times New Roman" w:cs="Times New Roman"/><w:color w:val="000000"/><w:sz w:val="20"/><w:szCs w:val="20"/><w:b w:val="0"/><w:bCs w:val="0"/></w:rPr><w:t xml:space="preserve">2.66</w:t></w:r><w:r><w:rPr><w:rFonts w:ascii="Times New Roman" w:hAnsi="Times New Roman" w:eastAsia="Times New Roman" w:cs="Times New Roman"/><w:color w:val="000000"/><w:sz w:val="20"/><w:szCs w:val="20"/><w:b w:val="0"/><w:bCs w:val="0"/></w:rPr><w:t xml:space="preserve"> years.</w:t></w:r></w:p><w:p><w:pPr><w:jc w:val="start"/><w:ind w:left="0" w:right="0" w:firstLine="0" w:hanging="0"/><w:spacing w:before="360" w:after="12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120" w:after="120"/></w:pPr><w:r><w:rPr><w:rFonts w:ascii="Times New Roman" w:hAnsi="Times New Roman" w:eastAsia="Times New Roman" w:cs="Times New Roman"/><w:color w:val="000000"/><w:sz w:val="20"/><w:szCs w:val="20"/><w:b w:val="0"/><w:bCs w:val="0"/></w:rPr><w:t xml:space="preserve">The stock options granted during the nine months ended September 30, 2023 and 2022 wer</w:t></w:r><w:r><w:rPr><w:rFonts w:ascii="Times New Roman" w:hAnsi="Times New Roman" w:eastAsia="Times New Roman" w:cs="Times New Roman"/><w:color w:val="000000"/><w:sz w:val="20"/><w:szCs w:val="20"/><w:b w:val="0"/><w:bCs w:val="0"/></w:rPr><w:t xml:space="preserve">e </w:t></w:r><w:r><w:rPr><w:rFonts w:ascii="Times New Roman" w:hAnsi="Times New Roman" w:eastAsia="Times New Roman" w:cs="Times New Roman"/><w:color w:val="000000"/><w:sz w:val="20"/><w:szCs w:val="20"/><w:b w:val="0"/><w:bCs w:val="0"/></w:rPr><w:t xml:space="preserve">3,554,528</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1,418,224</w:t></w:r><w:r><w:rPr><w:rFonts w:ascii="Times New Roman" w:hAnsi="Times New Roman" w:eastAsia="Times New Roman" w:cs="Times New Roman"/><w:color w:val="000000"/><w:sz w:val="20"/><w:szCs w:val="20"/><w:b w:val="0"/><w:bCs w:val="0"/></w:rPr><w:t xml:space="preserve">, resp</w:t></w:r><w:r><w:rPr><w:rFonts w:ascii="Times New Roman" w:hAnsi="Times New Roman" w:eastAsia="Times New Roman" w:cs="Times New Roman"/><w:color w:val="000000"/><w:sz w:val="20"/><w:szCs w:val="20"/><w:b w:val="0"/><w:bCs w:val="0"/></w:rPr><w:t xml:space="preserve">ectively. </w:t></w:r><w:r><w:rPr><w:rFonts w:ascii="Times New Roman" w:hAnsi="Times New Roman" w:eastAsia="Times New Roman" w:cs="Times New Roman"/><w:color w:val="000000"/><w:sz w:val="20"/><w:szCs w:val="20"/><w:b w:val="0"/><w:bCs w:val="0"/></w:rPr><w:t xml:space="preserve">The assumptions that the Company used to determine the grant-date fair value of stock options granted during these periods were as follows, presented on a weig</w:t></w:r><w:r><w:rPr><w:rFonts w:ascii="Times New Roman" w:hAnsi="Times New Roman" w:eastAsia="Times New Roman" w:cs="Times New Roman"/><w:color w:val="000000"/><w:sz w:val="20"/><w:szCs w:val="20"/><w:b w:val="0"/><w:bCs w:val="0"/></w:rPr><w:t xml:space="preserve">hted-average basis:</w:t></w:r></w:p><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tbl><w:tblGrid><w:gridCol w:w="2300" w:type="dxa"/><w:gridCol w:w="23450" w:type="dxa"/><w:gridCol w:w="50" w:type="dxa"/><w:gridCol w:w="28850" w:type="dxa"/><w:gridCol w:w="50" w:type="dxa"/><w:gridCol w:w="16600" w:type="dxa"/><w:gridCol w:w="50" w:type="dxa"/><w:gridCol w:w="28850" w:type="dxa"/><w:gridCol w:w="50" w:type="dxa"/></w:tblGrid><w:tblPr><w:tblW w:w="0" w:type="pct"/><w:tblLayout w:type="autofit"/></w:tblPr><w:tr><w:trPr/><w:tc><w:tcPr><w:tcW w:w="2300" w:type="pct"/><w:noWrap/></w:tcPr><w:p><w:pPr/></w:p></w:tc><w:tc><w:tcPr><w:tcW w:w="23450" w:type="pct"/><w:noWrap/></w:tcPr><w:p><w:pPr/></w:p></w:tc><w:tc><w:tcPr><w:tcW w:w="50" w:type="pct"/><w:noWrap/></w:tcPr><w:p><w:pPr/></w:p></w:tc><w:tc><w:tcPr><w:tcW w:w="28850" w:type="pct"/><w:noWrap/></w:tcPr><w:p><w:pPr/></w:p></w:tc><w:tc><w:tcPr><w:tcW w:w="50" w:type="pct"/><w:noWrap/></w:tcPr><w:p><w:pPr/></w:p></w:tc><w:tc><w:tcPr><w:tcW w:w="16600" w:type="pct"/><w:noWrap/></w:tcPr><w:p><w:pPr/></w:p></w:tc><w:tc><w:tcPr><w:tcW w:w="50" w:type="pct"/><w:noWrap/></w:tcPr><w:p><w:pPr/></w:p></w:tc><w:tc><w:tcPr><w:tcW w:w="288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Risk-free interest rate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3.99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1.92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Expected term (in years)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6.24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6.25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Expected volatility</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51.00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50.66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Expected dividend yield</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Exercise price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8.03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Underlying stock price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2.47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7.87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These assumptions resulted in an estimated weighted-average grant-date fair value per share of stock options granted during the nine months ended September 30, 2023 and 2022 </w:t></w:r><w:r><w:rPr><w:rFonts w:ascii="Times New Roman" w:hAnsi="Times New Roman" w:eastAsia="Times New Roman" w:cs="Times New Roman"/><w:color w:val="000000"/><w:sz w:val="20"/><w:szCs w:val="20"/><w:b w:val="0"/><w:bCs w:val="0"/></w:rPr><w:t xml:space="preserve">of $</w:t></w:r><w:r><w:rPr><w:rFonts w:ascii="Times New Roman" w:hAnsi="Times New Roman" w:eastAsia="Times New Roman" w:cs="Times New Roman"/><w:color w:val="000000"/><w:sz w:val="20"/><w:szCs w:val="20"/><w:b w:val="0"/><w:bCs w:val="0"/></w:rPr><w:t xml:space="preserve">1.32</w:t></w:r><w:r><w:rPr><w:rFonts w:ascii="Times New Roman" w:hAnsi="Times New Roman" w:eastAsia="Times New Roman" w:cs="Times New Roman"/><w:color w:val="000000"/><w:sz w:val="20"/><w:szCs w:val="20"/><w:b w:val="0"/><w:bCs w:val="0"/></w:rPr><w:t xml:space="preserve"> and</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3.94</w:t></w:r><w:r><w:rPr><w:rFonts w:ascii="Times New Roman" w:hAnsi="Times New Roman" w:eastAsia="Times New Roman" w:cs="Times New Roman"/><w:color w:val="000000"/><w:sz w:val="20"/><w:szCs w:val="20"/><w:b w:val="0"/><w:bCs w:val="0"/></w:rPr><w:t xml:space="preserve">, respectively.</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following table summarizes the Company’s stock option activity sin</w:t></w:r><w:r><w:rPr><w:rFonts w:ascii="Times New Roman" w:hAnsi="Times New Roman" w:eastAsia="Times New Roman" w:cs="Times New Roman"/><w:color w:val="000000"/><w:sz w:val="20"/><w:szCs w:val="20"/><w:b w:val="0"/><w:bCs w:val="0"/></w:rPr><w:t xml:space="preserve">ce December 31, 2022:</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31050" w:type="dxa"/><w:gridCol w:w="50" w:type="dxa"/><w:gridCol w:w="50" w:type="dxa"/><w:gridCol w:w="35699999999999950" w:type="dxa"/><w:gridCol w:w="50" w:type="dxa"/><w:gridCol w:w="1050" w:type="dxa"/><w:gridCol w:w="50" w:type="dxa"/><w:gridCol w:w="36600" w:type="dxa"/><w:gridCol w:w="50" w:type="dxa"/><w:gridCol w:w="50" w:type="dxa"/><w:gridCol w:w="50" w:type="dxa"/><w:gridCol w:w="35699999999999950" w:type="dxa"/><w:gridCol w:w="50" w:type="dxa"/><w:gridCol w:w="1050" w:type="dxa"/><w:gridCol w:w="50" w:type="dxa"/><w:gridCol w:w="8649999999999900" w:type="dxa"/><w:gridCol w:w="50" w:type="dxa"/></w:tblGrid><w:tblPr><w:tblW w:w="0" w:type="pct"/><w:tblLayout w:type="autofit"/></w:tblPr><w:tr><w:trPr/><w:tc><w:tcPr><w:tcW w:w="31050" w:type="pct"/><w:noWrap/></w:tcPr><w:p><w:pPr/></w:p></w:tc><w:tc><w:tcPr><w:tcW w:w="50" w:type="pct"/><w:noWrap/></w:tcPr><w:p><w:pPr/></w:p></w:tc><w:tc><w:tcPr><w:tcW w:w="50" w:type="pct"/><w:noWrap/></w:tcPr><w:p><w:pPr/></w:p></w:tc><w:tc><w:tcPr><w:tcW w:w="35699999999999950" w:type="pct"/><w:noWrap/></w:tcPr><w:p><w:pPr/></w:p></w:tc><w:tc><w:tcPr><w:tcW w:w="50" w:type="pct"/><w:noWrap/></w:tcPr><w:p><w:pPr/></w:p></w:tc><w:tc><w:tcPr><w:tcW w:w="1050" w:type="pct"/><w:noWrap/></w:tcPr><w:p><w:pPr/></w:p></w:tc><w:tc><w:tcPr><w:tcW w:w="50" w:type="pct"/><w:noWrap/></w:tcPr><w:p><w:pPr/></w:p></w:tc><w:tc><w:tcPr><w:tcW w:w="36600" w:type="pct"/><w:noWrap/></w:tcPr><w:p><w:pPr/></w:p></w:tc><w:tc><w:tcPr><w:tcW w:w="50" w:type="pct"/><w:noWrap/></w:tcPr><w:p><w:pPr/></w:p></w:tc><w:tc><w:tcPr><w:tcW w:w="50" w:type="pct"/><w:noWrap/></w:tcPr><w:p><w:pPr/></w:p></w:tc><w:tc><w:tcPr><w:tcW w:w="50" w:type="pct"/><w:noWrap/></w:tcPr><w:p><w:pPr/></w:p></w:tc><w:tc><w:tcPr><w:tcW w:w="35699999999999950" w:type="pct"/><w:noWrap/></w:tcPr><w:p><w:pPr/></w:p></w:tc><w:tc><w:tcPr><w:tcW w:w="50" w:type="pct"/><w:noWrap/></w:tcPr><w:p><w:pPr/></w:p></w:tc><w:tc><w:tcPr><w:tcW w:w="1050" w:type="pct"/><w:noWrap/></w:tcPr><w:p><w:pPr/></w:p></w:tc><w:tc><w:tcPr><w:tcW w:w="50" w:type="pct"/><w:noWrap/></w:tcPr><w:p><w:pPr/></w:p></w:tc><w:tc><w:tcPr><w:tcW w:w="864999999999990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Weighted</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Average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Weighted</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Remaining</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Average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Contractual</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Aggregate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Number of</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Exercise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Term</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Intrinsic</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Options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Price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years)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Value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Outstanding as of December 31, 2022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5,931,042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5.91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6.14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2,245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Granted</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3,554,528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2.51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Exercised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Canceled / forfeited</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82,981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8.25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Expired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32,275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4.49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Outstanding as of September 30, 2023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9,370,314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4.61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6.92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5,308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Options exercisable as of September 30, 2023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4,005,419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4.58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4.34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2,936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Options vested or expected to vest as of September 30, 2023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2"/><w:szCs w:val="2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8,362,789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4.67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6.66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4,801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total fair value of options vested during the nine months ended September 30, 2023 and 2022 was</w:t></w:r><w:r><w:rPr><w:rFonts w:ascii="Times New Roman" w:hAnsi="Times New Roman" w:eastAsia="Times New Roman" w:cs="Times New Roman"/><w:color w:val="000000"/><w:sz w:val="20"/><w:szCs w:val="20"/><w:b w:val="0"/><w:bCs w:val="0"/></w:rPr><w:t xml:space="preserve"> $</w:t></w:r><w:r><w:rPr><w:rFonts w:ascii="Times New Roman" w:hAnsi="Times New Roman" w:eastAsia="Times New Roman" w:cs="Times New Roman"/><w:color w:val="000000"/><w:sz w:val="20"/><w:szCs w:val="20"/><w:b w:val="0"/><w:bCs w:val="0"/></w:rPr><w:t xml:space="preserve">3,117</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2,082</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 respectively.</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of September 30, 2023, the total unrecognized stock compensation expense related to unvested stock options expected to vest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7,120</w:t></w:r><w:r><w:rPr><w:rFonts w:ascii="Times New Roman" w:hAnsi="Times New Roman" w:eastAsia="Times New Roman" w:cs="Times New Roman"/><w:color w:val="000000"/><w:sz w:val="20"/><w:szCs w:val="20"/><w:b w:val="0"/><w:bCs w:val="0"/></w:rPr><w:t xml:space="preserve"> and was expected to be recognized over a weighted-average period of </w:t></w:r><w:r><w:rPr><w:rFonts w:ascii="Times New Roman" w:hAnsi="Times New Roman" w:eastAsia="Times New Roman" w:cs="Times New Roman"/><w:color w:val="000000"/><w:sz w:val="20"/><w:szCs w:val="20"/><w:b w:val="0"/><w:bCs w:val="0"/></w:rPr><w:t xml:space="preserve">2.54</w:t></w:r><w:r><w:rPr><w:rFonts w:ascii="Times New Roman" w:hAnsi="Times New Roman" w:eastAsia="Times New Roman" w:cs="Times New Roman"/><w:color w:val="000000"/><w:sz w:val="20"/><w:szCs w:val="20"/><w:b w:val="0"/><w:bCs w:val="0"/></w:rPr><w:t xml:space="preserve"> years.</w:t></w:r></w:p><w:p><w:pPr><w:jc w:val="start"/><w:ind w:left="0" w:right="0" w:firstLine="0" w:hanging="0"/><w:spacing w:before="360" w:after="0"/></w:pPr><w:r><w:rPr><w:rFonts w:ascii="Times New Roman" w:hAnsi="Times New Roman" w:eastAsia="Times New Roman" w:cs="Times New Roman"/><w:color w:val="000000"/><w:sz w:val="20"/><w:szCs w:val="20"/><w:b w:val="1"/><w:bCs w:val="1"/></w:rPr><w:t xml:space="preserve">16</w:t></w:r><w:r><w:rPr><w:rFonts w:ascii="Times New Roman" w:hAnsi="Times New Roman" w:eastAsia="Times New Roman" w:cs="Times New Roman"/><w:color w:val="000000"/><w:sz w:val="20"/><w:szCs w:val="20"/><w:b w:val="1"/><w:bCs w:val="1"/></w:rPr><w:t xml:space="preserve">. Earnings per Share (EPS)</w:t></w:r></w:p><w:p><w:pPr><w:jc w:val="start"/><w:ind w:left="0" w:right="0" w:firstLine="0" w:hanging="0"/><w:spacing w:before="120" w:after="0"/></w:pPr><w:r><w:rPr><w:rFonts w:ascii="Times New Roman" w:hAnsi="Times New Roman" w:eastAsia="Times New Roman" w:cs="Times New Roman"/><w:color w:val="000000"/><w:sz w:val="20"/><w:szCs w:val="20"/><w:b w:val="0"/><w:bCs w:val="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w:t></w:r></w:p><w:p><w:pPr><w:jc w:val="start"/><w:ind w:left="0" w:right="0" w:firstLine="0" w:hanging="0"/><w:spacing w:before="120" w:after="0"/></w:pPr><w:r><w:rPr><w:rFonts w:ascii="Times New Roman" w:hAnsi="Times New Roman" w:eastAsia="Times New Roman" w:cs="Times New Roman"/><w:color w:val="000000"/><w:sz w:val="20"/><w:szCs w:val="20"/><w:b w:val="0"/><w:bCs w:val="0"/></w:rPr><w:t xml:space="preserve">A reconciliation of the numerator and denominator used in the calculation of the basic and diluted net income attributable to the Class A common stockholders is as follows.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tbl><w:tblGrid><w:gridCol w:w="40600" w:type="dxa"/><w:gridCol w:w="6150" w:type="dxa"/><w:gridCol w:w="50" w:type="dxa"/><w:gridCol w:w="1250" w:type="dxa"/><w:gridCol w:w="50" w:type="dxa"/><w:gridCol w:w="1150" w:type="dxa"/><w:gridCol w:w="50" w:type="dxa"/><w:gridCol w:w="1250" w:type="dxa"/><w:gridCol w:w="50" w:type="dxa"/><w:gridCol w:w="1150" w:type="dxa"/><w:gridCol w:w="50" w:type="dxa"/><w:gridCol w:w="1250" w:type="dxa"/><w:gridCol w:w="50" w:type="dxa"/><w:gridCol w:w="1150" w:type="dxa"/><w:gridCol w:w="50" w:type="dxa"/><w:gridCol w:w="1250" w:type="dxa"/><w:gridCol w:w="50" w:type="dxa"/></w:tblGrid><w:tblPr><w:tblW w:w="0" w:type="pct"/><w:tblLayout w:type="autofit"/></w:tblPr><w:tr><w:trPr/><w:tc><w:tcPr><w:tcW w:w="40600" w:type="pct"/><w:noWrap/></w:tcPr><w:p><w:pPr/></w:p></w:tc><w:tc><w:tcPr><w:tcW w:w="6150" w:type="pct"/><w:noWrap/></w:tcPr><w:p><w:pPr/></w:p></w:tc><w:tc><w:tcPr><w:tcW w:w="50" w:type="pct"/><w:noWrap/></w:tcPr><w:p><w:pPr/></w:p></w:tc><w:tc><w:tcPr><w:tcW w:w="1250" w:type="pct"/><w:noWrap/></w:tcPr><w:p><w:pPr/></w:p></w:tc><w:tc><w:tcPr><w:tcW w:w="50" w:type="pct"/><w:noWrap/></w:tcPr><w:p><w:pPr/></w:p></w:tc><w:tc><w:tcPr><w:tcW w:w="1150" w:type="pct"/><w:noWrap/></w:tcPr><w:p><w:pPr/></w:p></w:tc><w:tc><w:tcPr><w:tcW w:w="50" w:type="pct"/><w:noWrap/></w:tcPr><w:p><w:pPr/></w:p></w:tc><w:tc><w:tcPr><w:tcW w:w="1250" w:type="pct"/><w:noWrap/></w:tcPr><w:p><w:pPr/></w:p></w:tc><w:tc><w:tcPr><w:tcW w:w="50" w:type="pct"/><w:noWrap/></w:tcPr><w:p><w:pPr/></w:p></w:tc><w:tc><w:tcPr><w:tcW w:w="1150" w:type="pct"/><w:noWrap/></w:tcPr><w:p><w:pPr/></w:p></w:tc><w:tc><w:tcPr><w:tcW w:w="50" w:type="pct"/><w:noWrap/></w:tcPr><w:p><w:pPr/></w:p></w:tc><w:tc><w:tcPr><w:tcW w:w="1250" w:type="pct"/><w:noWrap/></w:tcPr><w:p><w:pPr/></w:p></w:tc><w:tc><w:tcPr><w:tcW w:w="50" w:type="pct"/><w:noWrap/></w:tcPr><w:p><w:pPr/></w:p></w:tc><w:tc><w:tcPr><w:tcW w:w="1150" w:type="pct"/><w:noWrap/></w:tcPr><w:p><w:pPr/></w:p></w:tc><w:tc><w:tcPr><w:tcW w:w="50" w:type="pct"/><w:noWrap/></w:tcPr><w:p><w:pPr/></w:p></w:tc><w:tc><w:tcPr><w:tcW w:w="1250" w:type="pct"/><w:noWrap/></w:tcPr><w:p><w:pPr/></w:p></w:tc><w:tc><w:tcPr><w:tcW w:w="50" w:type="pct"/><w:noWrap/></w:tcPr><w:p><w:pP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Numerator:</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Net Income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3,167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5,513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8,046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Denominator:</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2"/><w:szCs w:val="22"/><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Weighted average common shares outstanding —basic</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131,312,483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130,903,160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131,230,882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129,784,890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Dilutive effect of restricted stock units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1,179,376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113,163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700,693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174,946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Dilutive effect of options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925,862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1,216,631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858,721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2,595,429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Weighted-average common shares outstanding—diluted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133,417,721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132,232,954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132,790,296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132,555,265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Earnings per share—basic</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0.06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Earnings per share—diluted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0.06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Company’s potentially dilutive securities include restricted stock units and stock options to purchase shares of Class A common stock. For the three and nine months ended September 30, 2023</w:t></w:r><w:r><w:rPr><w:rFonts w:ascii="Times New Roman" w:hAnsi="Times New Roman" w:eastAsia="Times New Roman" w:cs="Times New Roman"/><w:color w:val="000000"/><w:sz w:val="20"/><w:szCs w:val="20"/><w:b w:val="0"/><w:bCs w:val="0"/></w:rPr><w:t xml:space="preserve">, outstanding stock-based awards of </w:t></w:r><w:r><w:rPr><w:rFonts w:ascii="Times New Roman" w:hAnsi="Times New Roman" w:eastAsia="Times New Roman" w:cs="Times New Roman"/><w:color w:val="000000"/><w:sz w:val="20"/><w:szCs w:val="20"/><w:b w:val="0"/><w:bCs w:val="0"/></w:rPr><w:t xml:space="preserve">8,615,405</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8,615,405</w:t></w:r><w:r><w:rPr><w:rFonts w:ascii="Times New Roman" w:hAnsi="Times New Roman" w:eastAsia="Times New Roman" w:cs="Times New Roman"/><w:color w:val="000000"/><w:sz w:val="20"/><w:szCs w:val="20"/><w:b w:val="0"/><w:bCs w:val="0"/></w:rPr><w:t xml:space="preserve">, respectively, were excluded from the diluted EPS calculation as they were anti-dilutive. For the </w:t></w:r><w:r><w:rPr><w:rFonts w:ascii="Times New Roman" w:hAnsi="Times New Roman" w:eastAsia="Times New Roman" w:cs="Times New Roman"/><w:color w:val="000000"/><w:sz w:val="20"/><w:szCs w:val="20"/><w:b w:val="0"/><w:bCs w:val="0"/></w:rPr><w:t xml:space="preserve">three and nine months ended September 30, 2022</w:t></w:r><w:r><w:rPr><w:rFonts w:ascii="Times New Roman" w:hAnsi="Times New Roman" w:eastAsia="Times New Roman" w:cs="Times New Roman"/><w:color w:val="000000"/><w:sz w:val="20"/><w:szCs w:val="20"/><w:b w:val="0"/><w:bCs w:val="0"/></w:rPr><w:t xml:space="preserve">, outstanding stock-based awards of </w:t></w:r><w:r><w:rPr><w:rFonts w:ascii="Times New Roman" w:hAnsi="Times New Roman" w:eastAsia="Times New Roman" w:cs="Times New Roman"/><w:color w:val="000000"/><w:sz w:val="20"/><w:szCs w:val="20"/><w:b w:val="0"/><w:bCs w:val="0"/></w:rPr><w:t xml:space="preserve">4,382,912</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3,482,463</w:t></w:r><w:r><w:rPr><w:rFonts w:ascii="Times New Roman" w:hAnsi="Times New Roman" w:eastAsia="Times New Roman" w:cs="Times New Roman"/><w:color w:val="000000"/><w:sz w:val="20"/><w:szCs w:val="20"/><w:b w:val="0"/><w:bCs w:val="0"/></w:rPr><w:t xml:space="preserve">, respectively, were excluded from the diluted EPS calculation as they were anti-dilutive.</w:t></w:r></w:p><w:p><w:pPr><w:jc w:val="start"/><w:ind w:left="0" w:right="0" w:firstLine="0" w:hanging="0"/><w:spacing w:before="360" w:after="0"/></w:pPr><w:r><w:rPr><w:rFonts w:ascii="Times New Roman" w:hAnsi="Times New Roman" w:eastAsia="Times New Roman" w:cs="Times New Roman"/><w:color w:val="000000"/><w:sz w:val="20"/><w:szCs w:val="20"/><w:b w:val="1"/><w:bCs w:val="1"/></w:rPr><w:t xml:space="preserve">17.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Company’s leases consist primarily of real estate, equipment and vehicle leases.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leases real estate for office, lab, warehouse and production space under noncancelable leases that expire at various dates through 2035, subject to the Company’s options to terminate or renew certain leases for an additional </w:t></w:r><w:r><w:rPr><w:rFonts w:ascii="Times New Roman" w:hAnsi="Times New Roman" w:eastAsia="Times New Roman" w:cs="Times New Roman"/><w:color w:val="000000"/><w:sz w:val="20"/><w:szCs w:val="20"/><w:b w:val="0"/><w:bCs w:val="0"/></w:rPr><w:t xml:space="preserve">five</w:t></w:r><w:r><w:rPr><w:rFonts w:ascii="Times New Roman" w:hAnsi="Times New Roman" w:eastAsia="Times New Roman" w:cs="Times New Roman"/><w:color w:val="000000"/><w:sz w:val="20"/><w:szCs w:val="20"/><w:b w:val="0"/><w:bCs w:val="0"/></w:rPr><w:t xml:space="preserve"> to </w:t></w:r><w:r><w:rPr><w:rFonts w:ascii="Times New Roman" w:hAnsi="Times New Roman" w:eastAsia="Times New Roman" w:cs="Times New Roman"/><w:color w:val="000000"/><w:sz w:val="20"/><w:szCs w:val="20"/><w:b w:val="0"/><w:bCs w:val="0"/></w:rPr><w:t xml:space="preserve">ten years</w:t></w:r><w:r><w:rPr><w:rFonts w:ascii="Times New Roman" w:hAnsi="Times New Roman" w:eastAsia="Times New Roman" w:cs="Times New Roman"/><w:color w:val="000000"/><w:sz w:val="20"/><w:szCs w:val="20"/><w:b w:val="0"/><w:bCs w:val="0"/></w:rPr><w:t xml:space="preserve">. The Company leases vehicles under operating leases for certain employees and has fleet services agreements for service on these vehicles. The minimum lease term for each newly leased vehicle is </w:t></w:r><w:r><w:rPr><w:rFonts w:ascii="Times New Roman" w:hAnsi="Times New Roman" w:eastAsia="Times New Roman" w:cs="Times New Roman"/><w:color w:val="000000"/><w:sz w:val="20"/><w:szCs w:val="20"/><w:b w:val="0"/><w:bCs w:val="0"/></w:rPr><w:t xml:space="preserve">367</w:t></w:r><w:r><w:rPr><w:rFonts w:ascii="Times New Roman" w:hAnsi="Times New Roman" w:eastAsia="Times New Roman" w:cs="Times New Roman"/><w:color w:val="000000"/><w:sz w:val="20"/><w:szCs w:val="20"/><w:b w:val="0"/><w:bCs w:val="0"/></w:rPr><w:t xml:space="preserve"> days with renewal options. The Company may terminate the vehicle lease after the minimum lease term upon thirty days’ prior notice. The Company also leases other equipment under noncancelable leases that expire at various dates through 2026.</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directors, former directors and / or stockholders of the Company. In August 2021, the Company purchased the building under the lease with 275 Dan Road SPE, LLC (the “275 Dan Road Building”) for $</w:t></w:r><w:r><w:rPr><w:rFonts w:ascii="Times New Roman" w:hAnsi="Times New Roman" w:eastAsia="Times New Roman" w:cs="Times New Roman"/><w:color w:val="000000"/><w:sz w:val="20"/><w:szCs w:val="20"/><w:b w:val="0"/><w:bCs w:val="0"/></w:rPr><w:t xml:space="preserve">6,013</w:t></w:r><w:r><w:rPr><w:rFonts w:ascii="Times New Roman" w:hAnsi="Times New Roman" w:eastAsia="Times New Roman" w:cs="Times New Roman"/><w:color w:val="000000"/><w:sz w:val="20"/><w:szCs w:val="20"/><w:b w:val="0"/><w:bCs w:val="0"/></w:rPr><w:t xml:space="preserve"> and the lease was terminated. Other than the lease with 275 Dan Road SPE, LLC which was terminated in August 2021, the remaining three leases were set to terminate on December 31, 2022, and each contained a renewal option for a five-year period with a rental rate at the greater of (i) rent for the last year of the prior term, or (ii) the then fair market value. The Company exercised the option to extend the leases for an additional five years in November 2021. It remeasured the lease assets and liabilities based on its best estimate of the market rental rate in the renewal period and reassessed the classification for these leases according to ASC 842-10-25-1 </w:t></w:r><w:r><w:rPr><w:rFonts w:ascii="Times New Roman" w:hAnsi="Times New Roman" w:eastAsia="Times New Roman" w:cs="Times New Roman"/><w:color w:val="000000"/><w:sz w:val="20"/><w:szCs w:val="20"/><w:b w:val="0"/><w:bCs w:val="0"/><w:i w:val="1"/><w:iCs w:val="1"/></w:rPr><w:t xml:space="preserve">Lease Classification. </w:t></w:r><w:r><w:rPr><w:rFonts w:ascii="Times New Roman" w:hAnsi="Times New Roman" w:eastAsia="Times New Roman" w:cs="Times New Roman"/><w:color w:val="000000"/><w:sz w:val="20"/><w:szCs w:val="20"/><w:b w:val="0"/><w:bCs w:val="0"/></w:rPr><w:t xml:space="preserve">As a result, these leases were reclassified from finance leases to operating leases</w:t></w:r><w:r><w:rPr><w:rFonts w:ascii="Times New Roman" w:hAnsi="Times New Roman" w:eastAsia="Times New Roman" w:cs="Times New Roman"/><w:color w:val="000000"/><w:sz w:val="20"/><w:szCs w:val="20"/><w:b w:val="0"/><w:bCs w:val="0"/><w:i w:val="1"/><w:iCs w:val="1"/></w:rPr><w:t xml:space="preserve">. </w:t></w:r><w:r><w:rPr><w:rFonts w:ascii="Times New Roman" w:hAnsi="Times New Roman" w:eastAsia="Times New Roman" w:cs="Times New Roman"/><w:color w:val="000000"/><w:sz w:val="20"/><w:szCs w:val="20"/><w:b w:val="0"/><w:bCs w:val="0"/></w:rPr><w:t xml:space="preserve">The related finance lease assets and liabilities were reclassified to operating lease right-of-use assets and operating lease obligations on the condensed consolidated balance sheet as of December 31, 2021. In December 2022, the Company and the landlord finalized the market rental rate in the renewal period for these properties, resulting in an additional $</w:t></w:r><w:r><w:rPr><w:rFonts w:ascii="Times New Roman" w:hAnsi="Times New Roman" w:eastAsia="Times New Roman" w:cs="Times New Roman"/><w:color w:val="000000"/><w:sz w:val="20"/><w:szCs w:val="20"/><w:b w:val="0"/><w:bCs w:val="0"/></w:rPr><w:t xml:space="preserve">8,060</w:t></w:r><w:r><w:rPr><w:rFonts w:ascii="Times New Roman" w:hAnsi="Times New Roman" w:eastAsia="Times New Roman" w:cs="Times New Roman"/><w:color w:val="000000"/><w:sz w:val="20"/><w:szCs w:val="20"/><w:b w:val="0"/><w:bCs w:val="0"/></w:rPr><w:t xml:space="preserve"> to be recorded as variable lease expenses over the renewal period.</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owes some accrued but unpaid lease obligations under the aforementioned leases. Effective April 1, 2019, the Company accrued interest on the accrued but unpaid lease obligations at an interest rate of </w:t></w:r><w:r><w:rPr><w:rFonts w:ascii="Times New Roman" w:hAnsi="Times New Roman" w:eastAsia="Times New Roman" w:cs="Times New Roman"/><w:color w:val="000000"/><w:sz w:val="20"/><w:szCs w:val="20"/><w:b w:val="0"/><w:bCs w:val="0"/></w:rPr><w:t xml:space="preserve">9.25</w:t></w:r><w:r><w:rPr><w:rFonts w:ascii="Times New Roman" w:hAnsi="Times New Roman" w:eastAsia="Times New Roman" w:cs="Times New Roman"/><w:color w:val="000000"/><w:sz w:val="20"/><w:szCs w:val="20"/><w:b w:val="0"/><w:bCs w:val="0"/></w:rPr><w:t xml:space="preserve">%. In connection with the purchase of the 275 Dan Road Building in August 2021, the Company paid </w:t></w:r><w:r><w:rPr><w:rFonts w:ascii="Times New Roman" w:hAnsi="Times New Roman" w:eastAsia="Times New Roman" w:cs="Times New Roman"/><w:color w:val="000000"/><w:sz w:val="20"/><w:szCs w:val="20"/><w:b w:val="0"/><w:bCs w:val="0"/></w:rPr><w:t xml:space="preserve">50</w:t></w:r><w:r><w:rPr><w:rFonts w:ascii="Times New Roman" w:hAnsi="Times New Roman" w:eastAsia="Times New Roman" w:cs="Times New Roman"/><w:color w:val="000000"/><w:sz w:val="20"/><w:szCs w:val="20"/><w:b w:val="0"/><w:bCs w:val="0"/></w:rPr><w:t xml:space="preserve">% of the accrued but unpaid lease obligations associated with this building and the accrued interest thereof. The remaining balance for this building was paid off in five quarterly installments ending on January 3, 2023.</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accrued but unpaid lease obligations as well as the related interest ac</w:t></w:r><w:r><w:rPr><w:rFonts w:ascii="Times New Roman" w:hAnsi="Times New Roman" w:eastAsia="Times New Roman" w:cs="Times New Roman"/><w:color w:val="000000"/><w:sz w:val="20"/><w:szCs w:val="20"/><w:b w:val="0"/><w:bCs w:val="0"/></w:rPr><w:t xml:space="preserve">cruals are shown below.</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200" w:type="dxa"/><w:gridCol w:w="50" w:type="dxa"/><w:gridCol w:w="50" w:type="dxa"/><w:gridCol w:w="1400" w:type="dxa"/><w:gridCol w:w="50" w:type="dxa"/><w:gridCol w:w="50" w:type="dxa"/><w:gridCol w:w="50" w:type="dxa"/><w:gridCol w:w="1400" w:type="dxa"/><w:gridCol w:w="50" w:type="dxa"/></w:tblGrid><w:tblPr><w:tblW w:w="0" w:type="pct"/><w:tblLayout w:type="autofit"/></w:tblPr><w:tr><w:trPr/><w:tc><w:tcPr><w:tcW w:w="2200" w:type="pct"/><w:noWrap/></w:tcPr><w:p><w:pPr/></w:p></w:tc><w:tc><w:tcPr><w:tcW w:w="50" w:type="pct"/><w:noWrap/></w:tcPr><w:p><w:pPr/></w:p></w:tc><w:tc><w:tcPr><w:tcW w:w="50" w:type="pct"/><w:noWrap/></w:tcPr><w:p><w:pPr/></w:p></w:tc><w:tc><w:tcPr><w:tcW w:w="1400" w:type="pct"/><w:noWrap/></w:tcPr><w:p><w:pPr/></w:p></w:tc><w:tc><w:tcPr><w:tcW w:w="50" w:type="pct"/><w:noWrap/></w:tcPr><w:p><w:pPr/></w:p></w:tc><w:tc><w:tcPr><w:tcW w:w="50" w:type="pct"/><w:noWrap/></w:tcPr><w:p><w:pPr/></w:p></w:tc><w:tc><w:tcPr><w:tcW w:w="50" w:type="pct"/><w:noWrap/></w:tcPr><w:p><w:pPr/></w:p></w:tc><w:tc><w:tcPr><w:tcW w:w="1400" w:type="pct"/><w:noWrap/></w:tcPr><w:p><w:pPr/></w:p></w:tc><w:tc><w:tcPr><w:tcW w:w="50" w:type="pct"/><w:noWrap/></w:tcPr><w:p><w:pP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Principal portion of rent in arrears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5,273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5,779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Total accrued but unpaid lease obligations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5,273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5,779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Accrued interest on accrued but unpaid lease obligations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2,204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1,956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Before being paid off in January 2023, the principal portion of rent in arrears related to the 275 Dan Road Building as well as the interest accrual were included in accrued expenses and other current liabilities on the condensed consolidated balance sheet as of December 31, 2022. For the other three buildings, the principal portion of rent in arrears was included in the short-term portion of operating lease obligations on the condensed consolidated balance sheets as of September 30, 2023 and December 31, 2022. The accrued interest on the accrued but unpaid lease obligations was included in accrued expenses and other current liabilities on the condensed consolidated balance sheets as of September 30, 2023 and December 31, 2022.</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components of lease co</w:t></w:r><w:r><w:rPr><w:rFonts w:ascii="Times New Roman" w:hAnsi="Times New Roman" w:eastAsia="Times New Roman" w:cs="Times New Roman"/><w:color w:val="000000"/><w:sz w:val="20"/><w:szCs w:val="20"/><w:b w:val="0"/><w:bCs w:val="0"/></w:rPr><w:t xml:space="preserve">st were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39350" w:type="dxa"/><w:gridCol w:w="22650" w:type="dxa"/><w:gridCol w:w="12650" w:type="dxa"/><w:gridCol w:w="22650" w:type="dxa"/><w:gridCol w:w="50" w:type="dxa"/><w:gridCol w:w="22050" w:type="dxa"/><w:gridCol w:w="50" w:type="dxa"/><w:gridCol w:w="22650" w:type="dxa"/><w:gridCol w:w="50" w:type="dxa"/><w:gridCol w:w="8050" w:type="dxa"/><w:gridCol w:w="50" w:type="dxa"/></w:tblGrid><w:tblPr><w:tblW w:w="0" w:type="pct"/><w:tblLayout w:type="autofit"/></w:tblPr><w:tr><w:trPr/><w:tc><w:tcPr><w:tcW w:w="39350" w:type="pct"/><w:noWrap/></w:tcPr><w:p><w:pPr/></w:p></w:tc><w:tc><w:tcPr><w:tcW w:w="22650" w:type="pct"/><w:noWrap/></w:tcPr><w:p><w:pPr/></w:p></w:tc><w:tc><w:tcPr><w:tcW w:w="12650" w:type="pct"/><w:noWrap/></w:tcPr><w:p><w:pPr/></w:p></w:tc><w:tc><w:tcPr><w:tcW w:w="22650" w:type="pct"/><w:noWrap/></w:tcPr><w:p><w:pPr/></w:p></w:tc><w:tc><w:tcPr><w:tcW w:w="50" w:type="pct"/><w:noWrap/></w:tcPr><w:p><w:pPr/></w:p></w:tc><w:tc><w:tcPr><w:tcW w:w="22050" w:type="pct"/><w:noWrap/></w:tcPr><w:p><w:pPr/></w:p></w:tc><w:tc><w:tcPr><w:tcW w:w="50" w:type="pct"/><w:noWrap/></w:tcPr><w:p><w:pPr/></w:p></w:tc><w:tc><w:tcPr><w:tcW w:w="22650" w:type="pct"/><w:noWrap/></w:tcPr><w:p><w:pPr/></w:p></w:tc><w:tc><w:tcPr><w:tcW w:w="50" w:type="pct"/><w:noWrap/></w:tcPr><w:p><w:pPr/></w:p></w:tc><w:tc><w:tcPr><w:tcW w:w="8050" w:type="pct"/><w:noWrap/></w:tcPr><w:p><w:pPr/></w:p></w:tc><w:tc><w:tcPr><w:tcW w:w="50" w:type="pct"/><w:noWrap/></w:tcPr><w:p><w:pP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Classification</w:t></w:r></w:p></w:tc><w:tc><w:tcPr><w:tcW w:w="0" w:type="pct"/><w:vAlign w:val="top"/><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Finance lease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Amortization of right-of-use assets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COGS and SG&A</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192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Interest on lease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Interest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Total Finance lease cost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233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220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Operating lease cost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COGS, R&D, SG&A</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7,387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7,197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Short-term lease cost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COGS, R&D, SG&A</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2,307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2,180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Variable lease cost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COGS, R&D, SG&A</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4,867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3,564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Total lease cost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14,794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13,161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Supplemental balance sheet information related to finance l</w:t></w:r><w:r><w:rPr><w:rFonts w:ascii="Times New Roman" w:hAnsi="Times New Roman" w:eastAsia="Times New Roman" w:cs="Times New Roman"/><w:color w:val="000000"/><w:sz w:val="20"/><w:szCs w:val="20"/><w:b w:val="0"/><w:bCs w:val="0"/></w:rPr><w:t xml:space="preserve">eases was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4350" w:type="dxa"/><w:gridCol w:w="22450" w:type="dxa"/><w:gridCol w:w="50" w:type="dxa"/><w:gridCol w:w="35950000000000050" w:type="dxa"/><w:gridCol w:w="50" w:type="dxa"/><w:gridCol w:w="22450" w:type="dxa"/><w:gridCol w:w="50" w:type="dxa"/><w:gridCol w:w="25700000000000050" w:type="dxa"/><w:gridCol w:w="50" w:type="dxa"/></w:tblGrid><w:tblPr><w:tblW w:w="0" w:type="pct"/><w:tblLayout w:type="autofit"/></w:tblPr><w:tr><w:trPr/><w:tc><w:tcPr><w:tcW w:w="4350" w:type="pct"/><w:noWrap/></w:tcPr><w:p><w:pPr/></w:p></w:tc><w:tc><w:tcPr><w:tcW w:w="22450" w:type="pct"/><w:noWrap/></w:tcPr><w:p><w:pPr/></w:p></w:tc><w:tc><w:tcPr><w:tcW w:w="50" w:type="pct"/><w:noWrap/></w:tcPr><w:p><w:pPr/></w:p></w:tc><w:tc><w:tcPr><w:tcW w:w="35950000000000050" w:type="pct"/><w:noWrap/></w:tcPr><w:p><w:pPr/></w:p></w:tc><w:tc><w:tcPr><w:tcW w:w="50" w:type="pct"/><w:noWrap/></w:tcPr><w:p><w:pPr/></w:p></w:tc><w:tc><w:tcPr><w:tcW w:w="22450" w:type="pct"/><w:noWrap/></w:tcPr><w:p><w:pPr/></w:p></w:tc><w:tc><w:tcPr><w:tcW w:w="50" w:type="pct"/><w:noWrap/></w:tcPr><w:p><w:pPr/></w:p></w:tc><w:tc><w:tcPr><w:tcW w:w="25700000000000050" w:type="pct"/><w:noWrap/></w:tcPr><w:p><w:pPr/></w:p></w:tc><w:tc><w:tcPr><w:tcW w:w="50" w:type="pct"/><w:noWrap/></w:tcPr><w:p><w:pP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 2023</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 2022</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Property and equipment, gross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4,625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1,174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Accumulated depreciation</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1,366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1,174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Property and equipment,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3,259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Finance lease obligations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r><w:rPr><w:rFonts w:ascii="Times New Roman" w:hAnsi="Times New Roman" w:eastAsia="Times New Roman" w:cs="Times New Roman"/><w:color w:val="000000"/><w:sz w:val="20"/><w:szCs w:val="20"/><w:b w:val="0"/><w:bCs w:val="0"/><w:shd w:val="clear" w:fill="cff0fc"/></w:rPr><w:t xml:space="preserve">3,340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Supplemental cash flow information related t</w:t></w:r><w:r><w:rPr><w:rFonts w:ascii="Times New Roman" w:hAnsi="Times New Roman" w:eastAsia="Times New Roman" w:cs="Times New Roman"/><w:color w:val="000000"/><w:sz w:val="20"/><w:szCs w:val="20"/><w:b w:val="0"/><w:bCs w:val="0"/></w:rPr><w:t xml:space="preserve">o leases was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2200" w:type="dxa"/><w:gridCol w:w="50" w:type="dxa"/><w:gridCol w:w="50" w:type="dxa"/><w:gridCol w:w="1400" w:type="dxa"/><w:gridCol w:w="50" w:type="dxa"/><w:gridCol w:w="50" w:type="dxa"/><w:gridCol w:w="50" w:type="dxa"/><w:gridCol w:w="1400" w:type="dxa"/><w:gridCol w:w="50" w:type="dxa"/></w:tblGrid><w:tblPr><w:tblW w:w="0" w:type="pct"/><w:tblLayout w:type="autofit"/></w:tblPr><w:tr><w:trPr/><w:tc><w:tcPr><w:tcW w:w="2200" w:type="pct"/><w:noWrap/></w:tcPr><w:p><w:pPr/></w:p></w:tc><w:tc><w:tcPr><w:tcW w:w="50" w:type="pct"/><w:noWrap/></w:tcPr><w:p><w:pPr/></w:p></w:tc><w:tc><w:tcPr><w:tcW w:w="50" w:type="pct"/><w:noWrap/></w:tcPr><w:p><w:pPr/></w:p></w:tc><w:tc><w:tcPr><w:tcW w:w="1400" w:type="pct"/><w:noWrap/></w:tcPr><w:p><w:pPr/></w:p></w:tc><w:tc><w:tcPr><w:tcW w:w="50" w:type="pct"/><w:noWrap/></w:tcPr><w:p><w:pPr/></w:p></w:tc><w:tc><w:tcPr><w:tcW w:w="50" w:type="pct"/><w:noWrap/></w:tcPr><w:p><w:pPr/></w:p></w:tc><w:tc><w:tcPr><w:tcW w:w="50" w:type="pct"/><w:noWrap/></w:tcPr><w:p><w:pPr/></w:p></w:tc><w:tc><w:tcPr><w:tcW w:w="1400" w:type="pct"/><w:noWrap/></w:tcPr><w:p><w:pPr/></w:p></w:tc><w:tc><w:tcPr><w:tcW w:w="50" w:type="pct"/><w:noWrap/></w:tcPr><w:p><w:pP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top"/><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top"/><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Cash paid for amounts included in the measurement of lease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Operating cash flows for operating leases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7,718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6,964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Operating cash flows for finance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Financing cash flows for finance leases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114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200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Right-of-use assets obtained in exchange for lease obligations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Operating leases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5,138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1,708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Finance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3,451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19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550" w:type="dxa"/><w:gridCol w:w="48900" w:type="dxa"/><w:gridCol w:w="50" w:type="dxa"/><w:gridCol w:w="249999999999950" w:type="dxa"/><w:gridCol w:w="50" w:type="dxa"/><w:gridCol w:w="48900" w:type="dxa"/><w:gridCol w:w="50" w:type="dxa"/><w:gridCol w:w="249999999999950" w:type="dxa"/><w:gridCol w:w="50" w:type="dxa"/></w:tblGrid><w:tblPr><w:tblW w:w="0" w:type="pct"/><w:tblLayout w:type="autofit"/></w:tblPr><w:tr><w:trPr/><w:tc><w:tcPr><w:tcW w:w="1550" w:type="pct"/><w:noWrap/></w:tcPr><w:p><w:pPr/></w:p></w:tc><w:tc><w:tcPr><w:tcW w:w="48900" w:type="pct"/><w:noWrap/></w:tcPr><w:p><w:pPr/></w:p></w:tc><w:tc><w:tcPr><w:tcW w:w="50" w:type="pct"/><w:noWrap/></w:tcPr><w:p><w:pPr/></w:p></w:tc><w:tc><w:tcPr><w:tcW w:w="249999999999950" w:type="pct"/><w:noWrap/></w:tcPr><w:p><w:pPr/></w:p></w:tc><w:tc><w:tcPr><w:tcW w:w="50" w:type="pct"/><w:noWrap/></w:tcPr><w:p><w:pPr/></w:p></w:tc><w:tc><w:tcPr><w:tcW w:w="48900" w:type="pct"/><w:noWrap/></w:tcPr><w:p><w:pPr/></w:p></w:tc><w:tc><w:tcPr><w:tcW w:w="50" w:type="pct"/><w:noWrap/></w:tcPr><w:p><w:pPr/></w:p></w:tc><w:tc><w:tcPr><w:tcW w:w="249999999999950" w:type="pct"/><w:noWrap/></w:tcPr><w:p><w:pPr/></w:p></w:tc><w:tc><w:tcPr><w:tcW w:w="50" w:type="pct"/><w:noWrap/></w:tcPr><w:p><w:pP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 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 2022</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Weighted-average remaining lease term</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Finance leases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2.84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Operating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6.68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7.54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September 30, 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December 31, 2022</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Weighted-average discount rate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Finance leases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7.95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Operating leases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4.73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4.61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rPr><w:t xml:space="preserve">As of </w:t></w:r><w:r><w:rPr><w:rFonts w:ascii="Times New Roman" w:hAnsi="Times New Roman" w:eastAsia="Times New Roman" w:cs="Times New Roman"/><w:color w:val="000000"/><w:sz w:val="20"/><w:szCs w:val="20"/><w:b w:val="0"/><w:bCs w:val="0"/></w:rPr><w:t xml:space="preserve">September 30, 2023, maturities of lease liabilities were as follows:</w:t></w:r></w:p><w:p><w:pPr><w:jc w:val="start"/><w:ind w:left="0" w:right="0" w:firstLine="0" w:hanging="0"/><w:spacing w:before="0" w:after="0"/></w:pPr><w:r><w:rPr><w:rFonts w:ascii="Times New Roman" w:hAnsi="Times New Roman" w:eastAsia="Times New Roman" w:cs="Times New Roman"/><w:sz w:val="24"/><w:szCs w:val="24"/></w:rPr><w:t xml:space="preserve"> </w:t></w:r></w:p><w:tbl><w:tblGrid><w:gridCol w:w="16750" w:type="dxa"/><w:gridCol w:w="22900" w:type="dxa"/><w:gridCol w:w="50" w:type="dxa"/><w:gridCol w:w="43699999999999950" w:type="dxa"/><w:gridCol w:w="50" w:type="dxa"/><w:gridCol w:w="22900" w:type="dxa"/><w:gridCol w:w="50" w:type="dxa"/><w:gridCol w:w="43699999999999950" w:type="dxa"/><w:gridCol w:w="50" w:type="dxa"/></w:tblGrid><w:tblPr><w:tblW w:w="0" w:type="pct"/><w:tblLayout w:type="autofit"/></w:tblPr><w:tr><w:trPr/><w:tc><w:tcPr><w:tcW w:w="16750" w:type="pct"/><w:noWrap/></w:tcPr><w:p><w:pPr/></w:p></w:tc><w:tc><w:tcPr><w:tcW w:w="22900" w:type="pct"/><w:noWrap/></w:tcPr><w:p><w:pPr/></w:p></w:tc><w:tc><w:tcPr><w:tcW w:w="50" w:type="pct"/><w:noWrap/></w:tcPr><w:p><w:pPr/></w:p></w:tc><w:tc><w:tcPr><w:tcW w:w="43699999999999950" w:type="pct"/><w:noWrap/></w:tcPr><w:p><w:pPr/></w:p></w:tc><w:tc><w:tcPr><w:tcW w:w="50" w:type="pct"/><w:noWrap/></w:tcPr><w:p><w:pPr/></w:p></w:tc><w:tc><w:tcPr><w:tcW w:w="22900" w:type="pct"/><w:noWrap/></w:tcPr><w:p><w:pPr/></w:p></w:tc><w:tc><w:tcPr><w:tcW w:w="50" w:type="pct"/><w:noWrap/></w:tcPr><w:p><w:pPr/></w:p></w:tc><w:tc><w:tcPr><w:tcW w:w="43699999999999950" w:type="pct"/><w:noWrap/></w:tcPr><w:p><w:pPr/></w:p></w:tc><w:tc><w:tcPr><w:tcW w:w="50" w:type="pct"/><w:noWrap/></w:tcPr><w:p><w:pPr/></w:p></w:tc></w:tr><w:tr><w:trPr><w:trHeight w:val="16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Operating leases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Finance leases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2023 (remaining 3 months)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7,864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434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2024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9,357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1,278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2025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8,938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1,278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2026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7,542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737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2027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8,002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Thereafter</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18,678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lease payments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60,381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3,727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Less: interest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8,507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r><w:rPr><w:rFonts w:ascii="Times New Roman" w:hAnsi="Times New Roman" w:eastAsia="Times New Roman" w:cs="Times New Roman"/><w:color w:val="000000"/><w:sz w:val="20"/><w:szCs w:val="20"/><w:b w:val="0"/><w:bCs w:val="0"/><w:shd w:val="clear" w:fill="ffffff"/></w:rPr><w:t xml:space="preserve">387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lease liabilities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51,874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3,340</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1"/><w:bCs w:val="1"/></w:rPr><w:t xml:space="preserve">18. Commitments and Contingencies</w:t></w:r></w:p><w:p><w:pPr><w:jc w:val="start"/><w:ind w:left="0" w:right="0" w:firstLine="0" w:hanging="0"/><w:spacing w:before="16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w:t></w:r><w:r><w:rPr><w:rFonts w:ascii="Times New Roman" w:hAnsi="Times New Roman" w:eastAsia="Times New Roman" w:cs="Times New Roman"/><w:color w:val="000000"/><w:sz w:val="20"/><w:szCs w:val="20"/><w:b w:val="0"/><w:bCs w:val="0"/></w:rPr><w:t xml:space="preserve">1,187</w:t></w:r><w:r><w:rPr><w:rFonts w:ascii="Times New Roman" w:hAnsi="Times New Roman" w:eastAsia="Times New Roman" w:cs="Times New Roman"/><w:color w:val="000000"/><w:sz w:val="20"/><w:szCs w:val="20"/><w:b w:val="0"/><w:bCs w:val="0"/></w:rPr><w:t xml:space="preserve"> as of </w:t></w:r><w:r><w:rPr><w:rFonts w:ascii="Times New Roman" w:hAnsi="Times New Roman" w:eastAsia="Times New Roman" w:cs="Times New Roman"/><w:color w:val="000000"/><w:sz w:val="20"/><w:szCs w:val="20"/><w:b w:val="0"/><w:bCs w:val="0"/></w:rPr><w:t xml:space="preserve">September 30, 2023 and December 31, 2022</w:t></w:r><w:r><w:rPr><w:rFonts w:ascii="Times New Roman" w:hAnsi="Times New Roman" w:eastAsia="Times New Roman" w:cs="Times New Roman"/><w:color w:val="000000"/><w:sz w:val="20"/><w:szCs w:val="20"/><w:b w:val="0"/><w:bCs w:val="0"/></w:rPr><w:t xml:space="preserve">, respectively, and were classified as part of accrued expenses and other current liabilities on the Company’s condensed consolidated balance sheets. There was </w:t></w:r><w:r><w:rPr><w:rFonts w:ascii="Times New Roman" w:hAnsi="Times New Roman" w:eastAsia="Times New Roman" w:cs="Times New Roman"/><w:color w:val="000000"/><w:sz w:val="20"/><w:szCs w:val="20"/><w:b w:val="0"/><w:bCs w:val="0"/></w:rPr><w:t xml:space="preserve">no</w:t></w:r><w:r><w:rPr><w:rFonts w:ascii="Times New Roman" w:hAnsi="Times New Roman" w:eastAsia="Times New Roman" w:cs="Times New Roman"/><w:color w:val="000000"/><w:sz w:val="20"/><w:szCs w:val="20"/><w:b w:val="0"/><w:bCs w:val="0"/></w:rPr><w:t xml:space="preserve"> royalty expense incurred during the nine months ended September 30, 2023 or 2022 related to this agreement.</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October 2017, the Company entered into a license agreement with a third party. Under the license agreement, the Company is required to pay royalties based on a percentage of net sales of the licensed product that occur, after December 31, 2017, through the e</w:t></w:r><w:r><w:rPr><w:rFonts w:ascii="Times New Roman" w:hAnsi="Times New Roman" w:eastAsia="Times New Roman" w:cs="Times New Roman"/><w:color w:val="000000"/><w:sz w:val="20"/><w:szCs w:val="20"/><w:b w:val="0"/><w:bCs w:val="0"/></w:rPr><w:t xml:space="preserve">xpiration of the underlying patent in October 2026, subject to minimum royalty payment provisions. The Company recorded royalty expense under this license agreement of $</w:t></w:r><w:r><w:rPr><w:rFonts w:ascii="Times New Roman" w:hAnsi="Times New Roman" w:eastAsia="Times New Roman" w:cs="Times New Roman"/><w:color w:val="000000"/><w:sz w:val="20"/><w:szCs w:val="20"/><w:b w:val="0"/><w:bCs w:val="0"/></w:rPr><w:t xml:space="preserve">1,262</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1,875</w:t></w:r><w:r><w:rPr><w:rFonts w:ascii="Times New Roman" w:hAnsi="Times New Roman" w:eastAsia="Times New Roman" w:cs="Times New Roman"/><w:color w:val="000000"/><w:sz w:val="20"/><w:szCs w:val="20"/><w:b w:val="0"/><w:bCs w:val="0"/></w:rPr><w:t xml:space="preserve"> during the </w:t></w:r><w:r><w:rPr><w:rFonts w:ascii="Times New Roman" w:hAnsi="Times New Roman" w:eastAsia="Times New Roman" w:cs="Times New Roman"/><w:color w:val="000000"/><w:sz w:val="20"/><w:szCs w:val="20"/><w:b w:val="0"/><w:bCs w:val="0"/></w:rPr><w:t xml:space="preserve">three months ended September 30, 2023 and 2022</w:t></w:r><w:r><w:rPr><w:rFonts w:ascii="Times New Roman" w:hAnsi="Times New Roman" w:eastAsia="Times New Roman" w:cs="Times New Roman"/><w:color w:val="000000"/><w:sz w:val="20"/><w:szCs w:val="20"/><w:b w:val="0"/><w:bCs w:val="0"/></w:rPr><w:t xml:space="preserve">, respectively, and $</w:t></w:r><w:r><w:rPr><w:rFonts w:ascii="Times New Roman" w:hAnsi="Times New Roman" w:eastAsia="Times New Roman" w:cs="Times New Roman"/><w:color w:val="000000"/><w:sz w:val="20"/><w:szCs w:val="20"/><w:b w:val="0"/><w:bCs w:val="0"/></w:rPr><w:t xml:space="preserve">4,294</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5,580</w:t></w:r><w:r><w:rPr><w:rFonts w:ascii="Times New Roman" w:hAnsi="Times New Roman" w:eastAsia="Times New Roman" w:cs="Times New Roman"/><w:color w:val="000000"/><w:sz w:val="20"/><w:szCs w:val="20"/><w:b w:val="0"/><w:bCs w:val="0"/></w:rPr><w:t xml:space="preserve"> during the </w:t></w:r><w:r><w:rPr><w:rFonts w:ascii="Times New Roman" w:hAnsi="Times New Roman" w:eastAsia="Times New Roman" w:cs="Times New Roman"/><w:color w:val="000000"/><w:sz w:val="20"/><w:szCs w:val="20"/><w:b w:val="0"/><w:bCs w:val="0"/></w:rPr><w:t xml:space="preserve">nine months ended September 30, 2023 and 2022, respectively, within selling, general and administrative expenses on the condensed consolidated statements of operations.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The Compan</w:t></w:r><w:r><w:rPr><w:rFonts w:ascii="Times New Roman" w:hAnsi="Times New Roman" w:eastAsia="Times New Roman" w:cs="Times New Roman"/><w:color w:val="000000"/><w:sz w:val="20"/><w:szCs w:val="20"/><w:b w:val="0"/><w:bCs w:val="0"/></w:rPr><w:t xml:space="preserve">y accrued $</w:t></w:r><w:r><w:rPr><w:rFonts w:ascii="Times New Roman" w:hAnsi="Times New Roman" w:eastAsia="Times New Roman" w:cs="Times New Roman"/><w:color w:val="000000"/><w:sz w:val="20"/><w:szCs w:val="20"/><w:b w:val="0"/><w:bCs w:val="0"/></w:rPr><w:t xml:space="preserve">564</w:t></w:r><w:r><w:rPr><w:rFonts w:ascii="Times New Roman" w:hAnsi="Times New Roman" w:eastAsia="Times New Roman" w:cs="Times New Roman"/><w:color w:val="000000"/><w:sz w:val="20"/><w:szCs w:val="20"/><w:b w:val="0"/><w:bCs w:val="0"/></w:rPr><w:t xml:space="preserve"> and $</w:t></w:r><w:r><w:rPr><w:rFonts w:ascii="Times New Roman" w:hAnsi="Times New Roman" w:eastAsia="Times New Roman" w:cs="Times New Roman"/><w:color w:val="000000"/><w:sz w:val="20"/><w:szCs w:val="20"/><w:b w:val="0"/><w:bCs w:val="0"/></w:rPr><w:t xml:space="preserve">150</w:t></w:r><w:r><w:rPr><w:rFonts w:ascii="Times New Roman" w:hAnsi="Times New Roman" w:eastAsia="Times New Roman" w:cs="Times New Roman"/><w:color w:val="000000"/><w:sz w:val="20"/><w:szCs w:val="20"/><w:b w:val="0"/><w:bCs w:val="0"/></w:rPr><w:t xml:space="preserve"> as of </w:t></w:r><w:r><w:rPr><w:rFonts w:ascii="Times New Roman" w:hAnsi="Times New Roman" w:eastAsia="Times New Roman" w:cs="Times New Roman"/><w:color w:val="000000"/><w:sz w:val="20"/><w:szCs w:val="20"/><w:b w:val="0"/><w:bCs w:val="0"/></w:rPr><w:t xml:space="preserve">September 30, 2023 and December 31, 2022</w:t></w:r><w:r><w:rPr><w:rFonts w:ascii="Times New Roman" w:hAnsi="Times New Roman" w:eastAsia="Times New Roman" w:cs="Times New Roman"/><w:color w:val="000000"/><w:sz w:val="20"/><w:szCs w:val="20"/><w:b w:val="0"/><w:bCs w:val="0"/></w:rPr><w:t xml:space="preserve">, respectively, for certain pending or settled lawsuits.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19.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Lease obligations to affiliates, including accrued but unpaid lease obligations, purchase of an asset under a finance lease with an affiliate, and renewal of leases with affiliates are further described in Note “17. Leases.”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20. Taxes</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income tax rate for the nine months ended September 30, 2023</w:t></w:r><w:r><w:rPr><w:rFonts w:ascii="Times New Roman" w:hAnsi="Times New Roman" w:eastAsia="Times New Roman" w:cs="Times New Roman"/><w:color w:val="000000"/><w:sz w:val="20"/><w:szCs w:val="20"/><w:b w:val="0"/><w:bCs w:val="0"/></w:rPr><w:t xml:space="preserve"> varied from the U.S. statutory rate of </w:t></w:r><w:r><w:rPr><w:rFonts w:ascii="Times New Roman" w:hAnsi="Times New Roman" w:eastAsia="Times New Roman" w:cs="Times New Roman"/><w:color w:val="000000"/><w:sz w:val="20"/><w:szCs w:val="20"/><w:b w:val="0"/><w:bCs w:val="0"/></w:rPr><w:t xml:space="preserve">21</w:t></w:r><w:r><w:rPr><w:rFonts w:ascii="Times New Roman" w:hAnsi="Times New Roman" w:eastAsia="Times New Roman" w:cs="Times New Roman"/><w:color w:val="000000"/><w:sz w:val="20"/><w:szCs w:val="20"/><w:b w:val="0"/><w:bCs w:val="0"/></w:rPr><w:t xml:space="preserve">% primarily due to the tax adjustments related to executive compensation, other permanent tax adjustments, and discrete items. </w:t></w:r><w:r><w:rPr><w:rFonts w:ascii="Times New Roman" w:hAnsi="Times New Roman" w:eastAsia="Times New Roman" w:cs="Times New Roman"/><w:color w:val="000000"/><w:sz w:val="20"/><w:szCs w:val="20"/><w:b w:val="0"/><w:bCs w:val="0"/></w:rPr><w:t xml:space="preserve">The income tax expense for the nine months ended September 30, 2023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6,675</w:t></w:r><w:r><w:rPr><w:rFonts w:ascii="Times New Roman" w:hAnsi="Times New Roman" w:eastAsia="Times New Roman" w:cs="Times New Roman"/><w:color w:val="000000"/><w:sz w:val="20"/><w:szCs w:val="20"/><w:b w:val="0"/><w:bCs w:val="0"/></w:rPr><w:t xml:space="preserve">, which included a discrete ta</w:t></w:r><w:r><w:rPr><w:rFonts w:ascii="Times New Roman" w:hAnsi="Times New Roman" w:eastAsia="Times New Roman" w:cs="Times New Roman"/><w:color w:val="000000"/><w:sz w:val="20"/><w:szCs w:val="20"/><w:b w:val="0"/><w:bCs w:val="0"/></w:rPr><w:t xml:space="preserve">x expense of $</w:t></w:r><w:r><w:rPr><w:rFonts w:ascii="Times New Roman" w:hAnsi="Times New Roman" w:eastAsia="Times New Roman" w:cs="Times New Roman"/><w:color w:val="000000"/><w:sz w:val="20"/><w:szCs w:val="20"/><w:b w:val="0"/><w:bCs w:val="0"/></w:rPr><w:t xml:space="preserve">68</w:t></w:r><w:r><w:rPr><w:rFonts w:ascii="Times New Roman" w:hAnsi="Times New Roman" w:eastAsia="Times New Roman" w:cs="Times New Roman"/><w:color w:val="000000"/><w:sz w:val="20"/><w:szCs w:val="20"/><w:b w:val="0"/><w:bCs w:val="0"/></w:rPr><w:t xml:space="preserve"> related primarily to the interest on certain uncertain tax positions. Income tax expense for the </w:t></w:r><w:r><w:rPr><w:rFonts w:ascii="Times New Roman" w:hAnsi="Times New Roman" w:eastAsia="Times New Roman" w:cs="Times New Roman"/><w:color w:val="000000"/><w:sz w:val="20"/><w:szCs w:val="20"/><w:b w:val="0"/><w:bCs w:val="0"/></w:rPr><w:t xml:space="preserve">nine months ended September 30, 2022 was </w:t></w:r><w:r><w:rPr><w:rFonts w:ascii="Times New Roman" w:hAnsi="Times New Roman" w:eastAsia="Times New Roman" w:cs="Times New Roman"/><w:color w:val="000000"/><w:sz w:val="20"/><w:szCs w:val="20"/><w:b w:val="0"/><w:bCs w:val="0"/></w:rPr><w:t xml:space="preserve">$</w:t></w:r><w:r><w:rPr><w:rFonts w:ascii="Times New Roman" w:hAnsi="Times New Roman" w:eastAsia="Times New Roman" w:cs="Times New Roman"/><w:color w:val="000000"/><w:sz w:val="20"/><w:szCs w:val="20"/><w:b w:val="0"/><w:bCs w:val="0"/></w:rPr><w:t xml:space="preserve">3,482</w:t></w:r><w:r><w:rPr><w:rFonts w:ascii="Times New Roman" w:hAnsi="Times New Roman" w:eastAsia="Times New Roman" w:cs="Times New Roman"/><w:color w:val="000000"/><w:sz w:val="20"/><w:szCs w:val="20"/><w:b w:val="0"/><w:bCs w:val="0"/></w:rPr><w:t xml:space="preserve">, which included a discrete tax expense of $</w:t></w:r><w:r><w:rPr><w:rFonts w:ascii="Times New Roman" w:hAnsi="Times New Roman" w:eastAsia="Times New Roman" w:cs="Times New Roman"/><w:color w:val="000000"/><w:sz w:val="20"/><w:szCs w:val="20"/><w:b w:val="0"/><w:bCs w:val="0"/></w:rPr><w:t xml:space="preserve">39</w:t></w:r><w:r><w:rPr><w:rFonts w:ascii="Times New Roman" w:hAnsi="Times New Roman" w:eastAsia="Times New Roman" w:cs="Times New Roman"/><w:color w:val="000000"/><w:sz w:val="20"/><w:szCs w:val="20"/><w:b w:val="0"/><w:bCs w:val="0"/></w:rPr><w:t xml:space="preserve"> related to the interest on certain uncertain tax positions.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examines all positive and negative evidence to estimate whether sufficient future taxable income in the U.S. will be generated to permit the use of existing deferred tax assets. In the fourth quarter of 2021, the Company released the valuation allowance recorded against its U.S. deferred tax assets. Upon reviewing the positive evidence of net operating loss utilization, cumulative profits, and forecasted taxable income, the Company believed that it was more likely than not that these U.S. deferred tax assets would be utilized. There are no material deferred tax assets in the other jurisdictions. On a quarterly basis, the Company reassesses the need for a valuation allowance on deferred income tax assets, weighing positive and negative evidence to assess the recoverability of the deferred tax assets. After assessing both the positive and negative evidence, including net operating loss utilization, cumulative profits, and forecasted taxable income, the Company determined that it is more likely than not the U.S. deferred assets will be realized in full. As such, the Company did not record a valuation allowance against its U.S. deferred tax assets as of September 30, 2023 and December 31, 2022</w:t></w:r><w:r><w:rPr><w:rFonts w:ascii="Times New Roman" w:hAnsi="Times New Roman" w:eastAsia="Times New Roman" w:cs="Times New Roman"/><w:color w:val="000000"/><w:sz w:val="20"/><w:szCs w:val="20"/><w:b w:val="0"/><w:bCs w:val="0"/></w:rPr><w:t xml:space="preserve">.</w:t></w:r></w:p><w:p><w:pPr><w:jc w:val="start"/><w:ind w:left="0" w:right="0" w:firstLine="0" w:hanging="0"/><w:spacing w:before="360" w:after="0"/></w:pPr><w:r><w:rPr><w:rFonts w:ascii="Times New Roman" w:hAnsi="Times New Roman" w:eastAsia="Times New Roman" w:cs="Times New Roman"/><w:color w:val="000000"/><w:sz w:val="20"/><w:szCs w:val="20"/><w:b w:val="1"/><w:bCs w:val="1"/></w:rPr><w:t xml:space="preserve">21. Subsequent Events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 has performed an evaluation of subsequent events through the time of filing this Quarterly Report on Form 10-Q with the SEC.</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October 27, 2023, the Company committed to a plan to restructure its workforce to increase productivity and enhance profitability. The reduction in force reduced the Company’s headcount by </w:t></w:r><w:r><w:rPr><w:rFonts w:ascii="Times New Roman" w:hAnsi="Times New Roman" w:eastAsia="Times New Roman" w:cs="Times New Roman"/><w:color w:val="000000"/><w:sz w:val="20"/><w:szCs w:val="20"/><w:b w:val="0"/><w:bCs w:val="0"/></w:rPr><w:t xml:space="preserve">49</w:t></w:r><w:r><w:rPr><w:rFonts w:ascii="Times New Roman" w:hAnsi="Times New Roman" w:eastAsia="Times New Roman" w:cs="Times New Roman"/><w:color w:val="000000"/><w:sz w:val="20"/><w:szCs w:val="20"/><w:b w:val="0"/><w:bCs w:val="0"/></w:rPr><w:t xml:space="preserve"> employees, or approximately </w:t></w:r><w:r><w:rPr><w:rFonts w:ascii="Times New Roman" w:hAnsi="Times New Roman" w:eastAsia="Times New Roman" w:cs="Times New Roman"/><w:color w:val="000000"/><w:sz w:val="20"/><w:szCs w:val="20"/><w:b w:val="0"/><w:bCs w:val="0"/></w:rPr><w:t xml:space="preserve">5</w:t></w:r><w:r><w:rPr><w:rFonts w:ascii="Times New Roman" w:hAnsi="Times New Roman" w:eastAsia="Times New Roman" w:cs="Times New Roman"/><w:color w:val="000000"/><w:sz w:val="20"/><w:szCs w:val="20"/><w:b w:val="0"/><w:bCs w:val="0"/></w:rPr><w:t xml:space="preserve">% of all employees. The Company expects to incur a total charge of approximately $</w:t></w:r><w:r><w:rPr><w:rFonts w:ascii="Times New Roman" w:hAnsi="Times New Roman" w:eastAsia="Times New Roman" w:cs="Times New Roman"/><w:color w:val="000000"/><w:sz w:val="20"/><w:szCs w:val="20"/><w:b w:val="0"/><w:bCs w:val="0"/></w:rPr><w:t xml:space="preserve">1.7</w:t></w:r><w:r><w:rPr><w:rFonts w:ascii="Times New Roman" w:hAnsi="Times New Roman" w:eastAsia="Times New Roman" w:cs="Times New Roman"/><w:color w:val="000000"/><w:sz w:val="20"/><w:szCs w:val="20"/><w:b w:val="0"/><w:bCs w:val="0"/></w:rPr><w:t xml:space="preserve"> million in the fourth quarter of 2023, primarily consisting of severance payments.</w:t></w:r></w:p><w:p><w:pPr><w:jc w:val="start"/><w:ind w:left="0" w:right="0" w:firstLine="0" w:hanging="0"/><w:spacing w:before="24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2022, filed with the SEC, on March 1, 2023.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b w:val="0"/><w:bCs w:val="0"/><w:i w:val="1"/><w:iCs w:val="1"/></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in-house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b w:val="0"/><w:bCs w:val="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and diabetic foot ulcers (“DFUs”); Dermagraft for the treatment of DFUs (manufacturing currently suspended pending transition to a new manufacturing facility or engagement of a third-party manufacturer); PuraPly AM as an antimicrobial barrier for a broad variety of wound types; and the Affinity, Novachor and NuShield wound coverings to address a variety of wound sizes and types. We have a highly trained and specialized direct wound care sales force paired with comprehensive customer support services.</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MZ and PuraPly AM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For the nine months ended September 30, 2023, we generated net revenue of $333.5 million and net income of $5.5 million compared to net revenue of $335.4 million and net income of $8.0 million for the nine months ended September 30, 2022. We have incurred significant losses since inception and, while we reported net income for the most recent three years, we may incur operating losses in the future as we expend resources as part of our efforts to grow our organization to support the planned expansion of our business. As of September 30, 2023, we had an accumulated deficit of $40.4 million. Our primary sources of capital to date have been from sales of our products, borrowings from related parties and institutional lenders and proceeds from the sale of our Class A common stock. We operate as one segment of regenerative medicine.</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previously disclosed, manufacturing of Dermagraft was suspended in the fourth quarter of 2021 and sales of Dermagraft were suspended in the second quarter of 2022. We currently plan to transition our Dermagraft manufacturing to a new manufacturing facility or engage a third-party manufacturer, which we expect will result in substantial long-term cost savings. In the period when Dermagraft is not available, we expect that customers will be willing to substitute Apligraf for Dermagraft and that the suspension of Dermagraft sales will not have a material impact on our net revenue. However, if we do not realize the expected substantial long-term cost savings or if customers are unwilling to substitute Apligraf for Dermagraft during the period in which Dermagraft is unavailable, it could have an adverse effect on our net revenue and results of operations.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Local Coverage Determinations</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August 2023, three Medicare Administrative Contractors (MACs) issued local coverage determinations (LCDs) eliminating coverage for diabetic foot ulcers (DFU) and venous leg ulcers (VLU) for over 130 products, including five of our commercially marketed products. The LCDs were scheduled to take effect on September 17, 2023, and subsequently delayed to October 1, 2023. Given the potential adverse impact these LCDs could have on patients and on our business, we worked with our advisors to convince the MACs to withdraw the LCDs and incurred legal expenses and compensation expenses related to retention for impacted sales employees of $1.2 million and $0.4 million, respectively, in the three months ended September 30, 2023. On September 28, 2023, the three MACs withdrew the LCDs.</w:t></w:r></w:p><w:p><w:pPr><w:jc w:val="start"/><w:ind w:left="0" w:right="0" w:firstLine="0" w:hanging="0"/><w:spacing w:before="36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September 30, 2023, we had approximately 305 direct sales representatives and approximately 160 independent agencies.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b w:val="0"/><w:bCs w:val="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start"/><w:ind w:left="0" w:right="0" w:firstLine="0" w:hanging="0"/><w:spacing w:before="120" w:after="0"/></w:pPr><w:r><w:rPr><w:rFonts w:ascii="Times New Roman" w:hAnsi="Times New Roman" w:eastAsia="Times New Roman" w:cs="Times New Roman"/><w:color w:val="000000"/><w:sz w:val="20"/><w:szCs w:val="20"/><w:b w:val="0"/><w:bCs w:val="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 We generally expect that research and development expenses will increase as we continue to conduct clinical trials on new and</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existing products, move products through the regulatory pathway (e.g., seek biologics license application approval), add personnel to support product enhancements as well as to bring new products to market, and enhance our manufacturing process and procedures.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Other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i w:val="1"/><w:iCs w:val="1"/></w:rPr><w:t xml:space="preserve">Interest expense</w:t></w:r><w:r><w:rPr><w:rFonts w:ascii="Times New Roman" w:hAnsi="Times New Roman" w:eastAsia="Times New Roman" w:cs="Times New Roman"/><w:color w:val="000000"/><w:sz w:val="20"/><w:szCs w:val="20"/><w:b w:val="0"/><w:bCs w:val="0"/></w:rPr><w:t xml:space="preserve">—Interest expense consists of interest on our outstanding indebtedness, including amortization of debt discount and debt issuance costs, net of interest income recognized.</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b w:val="0"/><w:bCs w:val="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In addition, we consider whether it is more likely than not that the tax position will be sustained on examination by taxing authorities based on the technical merits of the position. In consideration of the factors discussed above, in the fourth quarter of 2021, we determined it was more likely than not that our deferred tax assets would be realized in the future and released the valuation allowance on our net U.S. deferred tax assets as of December 31, 2021, resulting in a benefit of $48.3 million in income taxes. We maintained the same position that our net U.S. deferred tax assets did not require a valuation allowance as of September 30, 2023 and December 31, 2022.</w:t></w:r><w:r><w:rPr><w:rFonts w:ascii="Times New Roman" w:hAnsi="Times New Roman" w:eastAsia="Times New Roman" w:cs="Times New Roman"/><w:color w:val="000000"/><w:sz w:val="20"/><w:szCs w:val="20"/><w:b w:val="0"/><w:bCs w:val="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36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following table sets forth, for the periods indicated, our results of operations: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3900" w:type="dxa"/><w:gridCol w:w="9150" w:type="dxa"/><w:gridCol w:w="50" w:type="dxa"/><w:gridCol w:w="27349999999999950" w:type="dxa"/><w:gridCol w:w="50" w:type="dxa"/><w:gridCol w:w="9150" w:type="dxa"/><w:gridCol w:w="50" w:type="dxa"/><w:gridCol w:w="27349999999999950" w:type="dxa"/><w:gridCol w:w="50" w:type="dxa"/><w:gridCol w:w="9150" w:type="dxa"/><w:gridCol w:w="50" w:type="dxa"/><w:gridCol w:w="27349999999999950" w:type="dxa"/><w:gridCol w:w="50" w:type="dxa"/><w:gridCol w:w="9150" w:type="dxa"/><w:gridCol w:w="50" w:type="dxa"/><w:gridCol w:w="27349999999999950" w:type="dxa"/><w:gridCol w:w="50" w:type="dxa"/></w:tblGrid><w:tblPr><w:tblW w:w="0" w:type="pct"/><w:tblLayout w:type="autofit"/></w:tblPr><w:tr><w:trPr/><w:tc><w:tcPr><w:tcW w:w="3900" w:type="pct"/><w:noWrap/></w:tcPr><w:p><w:pPr/></w:p></w:tc><w:tc><w:tcPr><w:tcW w:w="9150" w:type="pct"/><w:noWrap/></w:tcPr><w:p><w:pPr/></w:p></w:tc><w:tc><w:tcPr><w:tcW w:w="50" w:type="pct"/><w:noWrap/></w:tcPr><w:p><w:pPr/></w:p></w:tc><w:tc><w:tcPr><w:tcW w:w="27349999999999950" w:type="pct"/><w:noWrap/></w:tcPr><w:p><w:pPr/></w:p></w:tc><w:tc><w:tcPr><w:tcW w:w="50" w:type="pct"/><w:noWrap/></w:tcPr><w:p><w:pPr/></w:p></w:tc><w:tc><w:tcPr><w:tcW w:w="9150" w:type="pct"/><w:noWrap/></w:tcPr><w:p><w:pPr/></w:p></w:tc><w:tc><w:tcPr><w:tcW w:w="50" w:type="pct"/><w:noWrap/></w:tcPr><w:p><w:pPr/></w:p></w:tc><w:tc><w:tcPr><w:tcW w:w="27349999999999950" w:type="pct"/><w:noWrap/></w:tcPr><w:p><w:pPr/></w:p></w:tc><w:tc><w:tcPr><w:tcW w:w="50" w:type="pct"/><w:noWrap/></w:tcPr><w:p><w:pPr/></w:p></w:tc><w:tc><w:tcPr><w:tcW w:w="9150" w:type="pct"/><w:noWrap/></w:tcPr><w:p><w:pPr/></w:p></w:tc><w:tc><w:tcPr><w:tcW w:w="50" w:type="pct"/><w:noWrap/></w:tcPr><w:p><w:pPr/></w:p></w:tc><w:tc><w:tcPr><w:tcW w:w="27349999999999950" w:type="pct"/><w:noWrap/></w:tcPr><w:p><w:pPr/></w:p></w:tc><w:tc><w:tcPr><w:tcW w:w="50" w:type="pct"/><w:noWrap/></w:tcPr><w:p><w:pPr/></w:p></w:tc><w:tc><w:tcPr><w:tcW w:w="9150" w:type="pct"/><w:noWrap/></w:tcPr><w:p><w:pPr/></w:p></w:tc><w:tc><w:tcPr><w:tcW w:w="50" w:type="pct"/><w:noWrap/></w:tcPr><w:p><w:pPr/></w:p></w:tc><w:tc><w:tcPr><w:tcW w:w="273499999999999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(Unaudited) (in thousands)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revenue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108,531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116,859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333,489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335,377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Cost of goods sold</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25,789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26,177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78,712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77,909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Gross profit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82,742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90,682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254,777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257,468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Operating expenses: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Selling, general and administrative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64,222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79,328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208,373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215,515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Research and development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10,470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9,575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32,610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28,367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operating expenses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74,692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88,903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240,983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243,882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Income from operations</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8,050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1,779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13,794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13,586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Other expense, net: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w:szCs w:val="2"/><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w:szCs w:val="2"/><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w:szCs w:val="2"/><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w:szCs w:val="2"/><w:b w:val="0"/><w:bCs w:val="0"/><w:shd w:val="clear" w:fill="cff0fc"/></w:rPr><w:t xml:space="preser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Interest expense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(444</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(572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(1,688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(2,039</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Other expense, net</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(19</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Total other expense, net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(413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(567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(1,606</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(2,058</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income before income taxes</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7,637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1,212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12,188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11,528</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Income tax expense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(4,470</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(997</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(6,675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(3,482</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income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3,167</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215</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5,513</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bottom"/><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8,046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6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Our management uses financial measures that are not in accordance with generally accepted accounting principles in the United States (“non-GAAP”), in addition to financial measures in accordance with generally accepted accounting principles in the United States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following is a reconciliation of GAAP net income to non-GAAP EBITDA and non-GAAP Adjusted EBITDA for each of the periods presented:</w:t></w:r></w:p><w:p><w:pPr><w:jc w:val="start"/><w:ind w:left="0" w:right="0" w:firstLine="0" w:hanging="0"/><w:spacing w:before="120" w:after="0"/></w:pPr><w:r><w:rPr><w:rFonts w:ascii="Times New Roman" w:hAnsi="Times New Roman" w:eastAsia="Times New Roman" w:cs="Times New Roman"/><w:sz w:val="20"/><w:szCs w:val="20"/></w:rPr><w:t xml:space="preserve"> </w:t></w:r></w:p><w:tbl><w:tblGrid><w:gridCol w:w="41300" w:type="dxa"/><w:gridCol w:w="2800" w:type="dxa"/><w:gridCol w:w="50" w:type="dxa"/><w:gridCol w:w="49150" w:type="dxa"/><w:gridCol w:w="50" w:type="dxa"/><w:gridCol w:w="2800" w:type="dxa"/><w:gridCol w:w="50" w:type="dxa"/><w:gridCol w:w="49150" w:type="dxa"/><w:gridCol w:w="50" w:type="dxa"/><w:gridCol w:w="2800" w:type="dxa"/><w:gridCol w:w="50" w:type="dxa"/><w:gridCol w:w="49150" w:type="dxa"/><w:gridCol w:w="50" w:type="dxa"/><w:gridCol w:w="2800" w:type="dxa"/><w:gridCol w:w="50" w:type="dxa"/><w:gridCol w:w="49150" w:type="dxa"/><w:gridCol w:w="50" w:type="dxa"/></w:tblGrid><w:tblPr><w:tblW w:w="0" w:type="pct"/><w:tblLayout w:type="autofit"/></w:tblPr><w:tr><w:trPr/><w:tc><w:tcPr><w:tcW w:w="41300" w:type="pct"/><w:noWrap/></w:tcPr><w:p><w:pPr/></w:p></w:tc><w:tc><w:tcPr><w:tcW w:w="2800" w:type="pct"/><w:noWrap/></w:tcPr><w:p><w:pPr/></w:p></w:tc><w:tc><w:tcPr><w:tcW w:w="50" w:type="pct"/><w:noWrap/></w:tcPr><w:p><w:pPr/></w:p></w:tc><w:tc><w:tcPr><w:tcW w:w="49150" w:type="pct"/><w:noWrap/></w:tcPr><w:p><w:pPr/></w:p></w:tc><w:tc><w:tcPr><w:tcW w:w="50" w:type="pct"/><w:noWrap/></w:tcPr><w:p><w:pPr/></w:p></w:tc><w:tc><w:tcPr><w:tcW w:w="2800" w:type="pct"/><w:noWrap/></w:tcPr><w:p><w:pPr/></w:p></w:tc><w:tc><w:tcPr><w:tcW w:w="50" w:type="pct"/><w:noWrap/></w:tcPr><w:p><w:pPr/></w:p></w:tc><w:tc><w:tcPr><w:tcW w:w="49150" w:type="pct"/><w:noWrap/></w:tcPr><w:p><w:pPr/></w:p></w:tc><w:tc><w:tcPr><w:tcW w:w="50" w:type="pct"/><w:noWrap/></w:tcPr><w:p><w:pPr/></w:p></w:tc><w:tc><w:tcPr><w:tcW w:w="2800" w:type="pct"/><w:noWrap/></w:tcPr><w:p><w:pPr/></w:p></w:tc><w:tc><w:tcPr><w:tcW w:w="50" w:type="pct"/><w:noWrap/></w:tcPr><w:p><w:pPr/></w:p></w:tc><w:tc><w:tcPr><w:tcW w:w="49150" w:type="pct"/><w:noWrap/></w:tcPr><w:p><w:pPr/></w:p></w:tc><w:tc><w:tcPr><w:tcW w:w="50" w:type="pct"/><w:noWrap/></w:tcPr><w:p><w:pPr/></w:p></w:tc><w:tc><w:tcPr><w:tcW w:w="2800" w:type="pct"/><w:noWrap/></w:tcPr><w:p><w:pPr/></w:p></w:tc><w:tc><w:tcPr><w:tcW w:w="50" w:type="pct"/><w:noWrap/></w:tcPr><w:p><w:pPr/></w:p></w:tc><w:tc><w:tcPr><w:tcW w:w="491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(Unaudited) (in thousands)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Net Income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3,167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215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5,513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8,046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Interest expense, net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444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572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1,688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2,039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Income tax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4,470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997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6,675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3,482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Depreciation</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2,544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1,456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7,466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4,331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Amortization</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1,229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1,220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3,689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3,662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EBITDA</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11,854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4,460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25,031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21,560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Stock-based compensation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2,417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1,702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6,630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4,697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Restructuring charge (1)</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95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611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1,878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1,518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Legal fees (2)</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1,182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1,182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Sales retention (3)</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422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422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Write-off of certain assets (4)</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4,200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4,200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Facility construction project pause (5)</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632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632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r><w:trPr><w:trHeight w:val="18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18"/><w:szCs w:val="18"/><w:b w:val="0"/><w:bCs w:val="0"/><w:shd w:val="clear" w:fill="cff0fc"/></w:rPr><w:t xml:space="preserve">Settlement fee (6)</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18"/><w:szCs w:val="18"/><w:b w:val="0"/><w:bCs w:val="0"/><w:shd w:val="clear" w:fill="cff0fc"/></w:rPr><w:t xml:space="preserve">2,600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18"/><w:szCs w:val="18"/><w:shd w:val="clear" w:fill="cff0fc"/></w:rPr><w:t xml:space="preserve"> </w:t></w:r></w:p></w:tc></w:tr><w:tr><w:trPr><w:trHeight w:val="18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Adjusted EBITDA</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15,970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11,605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35,143</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18"/><w:szCs w:val="18"/><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18"/><w:szCs w:val="18"/><w:b w:val="0"/><w:bCs w:val="0"/><w:shd w:val="clear" w:fill="ffffff"/></w:rPr><w:t xml:space="preserve">35,207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8"/><w:szCs w:val="18"/><w:shd w:val="clear" w:fill="ffffff"/></w:rPr><w:t xml:space="preserve"> </w:t></w:r></w:p></w:tc></w:tr></w:tbl><w:p><w:pPr><w:jc w:val="start"/><w:ind w:left="0" w:right="0" w:firstLine="0" w:hanging="0"/><w:spacing w:before="0" w:after="0"/></w:pPr><w:r><w:rPr><w:rFonts w:ascii="Times New Roman" w:hAnsi="Times New Roman" w:eastAsia="Times New Roman" w:cs="Times New Roman"/><w:color w:val="000000"/><w:sz w:val="12"/><w:szCs w:val="12"/><w:b w:val="0"/><w:bCs w:val="0"/></w:rPr><w:t xml:space="preserve"> </w:t></w:r></w:p><w:p><w:pPr><w:jc w:val="start"/></w:pPr><w:r><w:rPr><w:rFonts w:ascii="Times New Roman" w:hAnsi="Times New Roman" w:eastAsia="Times New Roman" w:cs="Times New Roman"/><w:color w:val="000000"/><w:sz w:val="20"/><w:szCs w:val="20"/><w:b w:val="0"/><w:bCs w:val="0"/></w:rPr><w:t xml:space="preserve">(1)</w:t></w:r></w:p><w:p><w:pPr><w:jc w:val="start"/></w:pPr><w:r><w:rPr><w:rFonts w:ascii="Times New Roman" w:hAnsi="Times New Roman" w:eastAsia="Times New Roman" w:cs="Times New Roman"/><w:color w:val="000000"/><w:sz w:val="20"/><w:szCs w:val="20"/><w:b w:val="0"/><w:bCs w:val="0"/></w:rPr><w:t xml:space="preserve">Amounts reflect employee severance, retention and benefits as well as other exit costs associated with the Company’s restructuring activities. See Note “12. Restructuring” to our condensed consolidated financial statements included in this Quarterly Report on Form 10-Q.</w:t></w:r></w:p><w:p><w:pPr><w:jc w:val="start"/></w:pPr><w:r><w:rPr><w:rFonts w:ascii="Times New Roman" w:hAnsi="Times New Roman" w:eastAsia="Times New Roman" w:cs="Times New Roman"/><w:color w:val="000000"/><w:sz w:val="20"/><w:szCs w:val="20"/><w:b w:val="0"/><w:bCs w:val="0"/></w:rPr><w:t xml:space="preserve">(2)</w:t></w:r></w:p><w:p><w:pPr><w:jc w:val="start"/></w:pPr><w:r><w:rPr><w:rFonts w:ascii="Times New Roman" w:hAnsi="Times New Roman" w:eastAsia="Times New Roman" w:cs="Times New Roman"/><w:color w:val="000000"/><w:sz w:val="20"/><w:szCs w:val="20"/><w:b w:val="0"/><w:bCs w:val="0"/></w:rPr><w:t xml:space="preserve">Amount represents the legal fees incurred related to the LCDs. See "Local Coverage Determinations" above.</w:t></w:r></w:p><w:p><w:pPr><w:jc w:val="start"/></w:pPr><w:r><w:rPr><w:rFonts w:ascii="Times New Roman" w:hAnsi="Times New Roman" w:eastAsia="Times New Roman" w:cs="Times New Roman"/><w:color w:val="000000"/><w:sz w:val="20"/><w:szCs w:val="20"/><w:b w:val="0"/><w:bCs w:val="0"/></w:rPr><w:t xml:space="preserve">(3)</w:t></w:r></w:p><w:p><w:pPr><w:jc w:val="start"/></w:pPr><w:r><w:rPr><w:rFonts w:ascii="Times New Roman" w:hAnsi="Times New Roman" w:eastAsia="Times New Roman" w:cs="Times New Roman"/><w:color w:val="000000"/><w:sz w:val="20"/><w:szCs w:val="20"/><w:b w:val="0"/><w:bCs w:val="0"/></w:rPr><w:t xml:space="preserve">Amount represents the compensation expenses related to retention for those sales employees impacted by the LCDs. See "Local Coverage Determinations" above.</w:t></w:r></w:p><w:p><w:pPr><w:jc w:val="start"/></w:pPr><w:r><w:rPr><w:rFonts w:ascii="Times New Roman" w:hAnsi="Times New Roman" w:eastAsia="Times New Roman" w:cs="Times New Roman"/><w:color w:val="000000"/><w:sz w:val="20"/><w:szCs w:val="20"/><w:b w:val="0"/><w:bCs w:val="0"/></w:rPr><w:t xml:space="preserve">(4)</w:t></w:r></w:p><w:p><w:pPr><w:jc w:val="start"/></w:pPr><w:r><w:rPr><w:rFonts w:ascii="Times New Roman" w:hAnsi="Times New Roman" w:eastAsia="Times New Roman" w:cs="Times New Roman"/><w:color w:val="000000"/><w:sz w:val="20"/><w:szCs w:val="20"/><w:b w:val="0"/><w:bCs w:val="0"/></w:rPr><w:t xml:space="preserve">Amount reflects the disposal of certain equipment related to the Company's Canton, Massachusetts facilities. See Note “9. Property and Equipment, Net” to our condensed consolidated financial statements included in this Quarterly Report on Form 10-Q.</w:t></w:r></w:p><w:p><w:pPr><w:jc w:val="start"/></w:pPr><w:r><w:rPr><w:rFonts w:ascii="Times New Roman" w:hAnsi="Times New Roman" w:eastAsia="Times New Roman" w:cs="Times New Roman"/><w:color w:val="000000"/><w:sz w:val="20"/><w:szCs w:val="20"/><w:b w:val="0"/><w:bCs w:val="0"/></w:rPr><w:t xml:space="preserve">(5)</w:t></w:r></w:p><w:p><w:pPr><w:jc w:val="start"/></w:pPr><w:r><w:rPr><w:rFonts w:ascii="Times New Roman" w:hAnsi="Times New Roman" w:eastAsia="Times New Roman" w:cs="Times New Roman"/><w:color w:val="000000"/><w:sz w:val="20"/><w:szCs w:val="20"/><w:b w:val="0"/><w:bCs w:val="0"/></w:rPr><w:t xml:space="preserve">Amount reflects the cancellation fees incurred in connection with the Company's decision to pause one of its manufacturing facility construction projects. See Note “9. Property and Equipment, Net” to our condensed consolidated financial statements included in this Quarterly Report on Form 10-Q.</w:t></w:r></w:p><w:p><w:pPr><w:jc w:val="start"/></w:pPr><w:r><w:rPr><w:rFonts w:ascii="Times New Roman" w:hAnsi="Times New Roman" w:eastAsia="Times New Roman" w:cs="Times New Roman"/><w:color w:val="000000"/><w:sz w:val="20"/><w:szCs w:val="20"/><w:b w:val="0"/><w:bCs w:val="0"/></w:rPr><w:t xml:space="preserve">(6)</w:t></w:r></w:p><w:p><w:pPr><w:jc w:val="start"/></w:pPr><w:r><w:rPr><w:rFonts w:ascii="Times New Roman" w:hAnsi="Times New Roman" w:eastAsia="Times New Roman" w:cs="Times New Roman"/><w:color w:val="000000"/><w:sz w:val="20"/><w:szCs w:val="20"/><w:b w:val="0"/><w:bCs w:val="0"/></w:rPr><w:t xml:space="preserve">Amount reflects the fee the Company agreed to pay to a GPO to settle previously disputed GPO fees. See Note “4. Product and Geographic Sales” to our condensed consolidated financial statements included in this Quarterly Report on Form 10-Q.</w:t></w:r></w:p><w:p><w:pPr><w:jc w:val="start"/><w:ind w:left="0" w:right="0" w:firstLine="0" w:hanging="0"/><w:spacing w:before="360" w:after="0"/></w:pPr><w:r><w:rPr><w:rFonts w:ascii="Times New Roman" w:hAnsi="Times New Roman" w:eastAsia="Times New Roman" w:cs="Times New Roman"/><w:color w:val="000000"/><w:sz w:val="20"/><w:szCs w:val="20"/><w:b w:val="1"/><w:bCs w:val="1"/></w:rPr><w:t xml:space="preserve">Comparison of Three and Nine Months Ended September 30, 2023 and 2022</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8900" w:type="dxa"/><w:gridCol w:w="12700" w:type="dxa"/><w:gridCol w:w="50" w:type="dxa"/><w:gridCol w:w="26300" w:type="dxa"/><w:gridCol w:w="50" w:type="dxa"/><w:gridCol w:w="12700" w:type="dxa"/><w:gridCol w:w="50" w:type="dxa"/><w:gridCol w:w="26300" w:type="dxa"/><w:gridCol w:w="50" w:type="dxa"/><w:gridCol w:w="12700" w:type="dxa"/><w:gridCol w:w="50" w:type="dxa"/><w:gridCol w:w="15350" w:type="dxa"/><w:gridCol w:w="50" w:type="dxa"/><w:gridCol w:w="49750" w:type="dxa"/><w:gridCol w:w="50" w:type="dxa"/><w:gridCol w:w="35050" w:type="dxa"/><w:gridCol w:w="50" w:type="dxa"/></w:tblGrid><w:tblPr><w:tblW w:w="0" w:type="pct"/><w:tblLayout w:type="autofit"/></w:tblPr><w:tr><w:trPr/><w:tc><w:tcPr><w:tcW w:w="890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15350" w:type="pct"/><w:noWrap/></w:tcPr><w:p><w:pPr/></w:p></w:tc><w:tc><w:tcPr><w:tcW w:w="50" w:type="pct"/><w:noWrap/></w:tcPr><w:p><w:pPr/></w:p></w:tc><w:tc><w:tcPr><w:tcW w:w="49750" w:type="pct"/><w:noWrap/></w:tcPr><w:p><w:pPr/></w:p></w:tc><w:tc><w:tcPr><w:tcW w:w="50" w:type="pct"/><w:noWrap/></w:tcPr><w:p><w:pPr/></w:p></w:tc><w:tc><w:tcPr><w:tcW w:w="350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Advanced Wound Care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101,357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109,514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(8,157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Surgical & Sports Medicine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7,174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7,345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(171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revenue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108,531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116,859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(8,328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8900" w:type="dxa"/><w:gridCol w:w="12700" w:type="dxa"/><w:gridCol w:w="50" w:type="dxa"/><w:gridCol w:w="26300" w:type="dxa"/><w:gridCol w:w="50" w:type="dxa"/><w:gridCol w:w="12700" w:type="dxa"/><w:gridCol w:w="50" w:type="dxa"/><w:gridCol w:w="26300" w:type="dxa"/><w:gridCol w:w="50" w:type="dxa"/><w:gridCol w:w="12700" w:type="dxa"/><w:gridCol w:w="50" w:type="dxa"/><w:gridCol w:w="15350" w:type="dxa"/><w:gridCol w:w="50" w:type="dxa"/><w:gridCol w:w="49750" w:type="dxa"/><w:gridCol w:w="50" w:type="dxa"/><w:gridCol w:w="35050" w:type="dxa"/><w:gridCol w:w="50" w:type="dxa"/></w:tblGrid><w:tblPr><w:tblW w:w="0" w:type="pct"/><w:tblLayout w:type="autofit"/></w:tblPr><w:tr><w:trPr/><w:tc><w:tcPr><w:tcW w:w="890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15350" w:type="pct"/><w:noWrap/></w:tcPr><w:p><w:pPr/></w:p></w:tc><w:tc><w:tcPr><w:tcW w:w="50" w:type="pct"/><w:noWrap/></w:tcPr><w:p><w:pPr/></w:p></w:tc><w:tc><w:tcPr><w:tcW w:w="49750" w:type="pct"/><w:noWrap/></w:tcPr><w:p><w:pPr/></w:p></w:tc><w:tc><w:tcPr><w:tcW w:w="50" w:type="pct"/><w:noWrap/></w:tcPr><w:p><w:pPr/></w:p></w:tc><w:tc><w:tcPr><w:tcW w:w="350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Advanced Wound Care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312,349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313,395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(1,046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Surgical & Sports Medicine</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21,140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21,982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(842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revenue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333,489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335,377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(1,888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b w:val="0"/><w:bCs w:val="0"/></w:rPr><w:t xml:space="preserve">Net revenue from our Advanced Wound Care products decreased by $8.2 million, or 7%, to $101.4 million in the three months ended September 30, 2023, from $109.5 million in the three months ended September 30, 2022. The decrease in Advanced Wound Care net revenue was primarily attributable to a decrease in sales of certain of our products due to changes in customer buying patterns as well as the anticipated impact of the recently withdrawn LCDs on sales of certain of our products, partially offset by an increase in sales of certain of our products to our existing and new customers.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Net revenue from our Advanced Wound Care products decreased by $1.0 million, or less than 1%, to $312.3 million in the nine months ended September 30, 2023, from which is relatively consistent with $313.4 million in the nine months ended September 30, 2022. The decrease in Advanced Wound Care net revenue was primarily attributable to a decrease in sales of certain of our products to our existing and new customers partially offset by an increase in sales of certain of our products due to changes in customer buying patterns.</w:t></w:r></w:p><w:p><w:pPr><w:jc w:val="start"/><w:ind w:left="0" w:right="0" w:firstLine="0" w:hanging="0"/><w:spacing w:before="120" w:after="0"/></w:pPr><w:r><w:rPr><w:rFonts w:ascii="Times New Roman" w:hAnsi="Times New Roman" w:eastAsia="Times New Roman" w:cs="Times New Roman"/><w:color w:val="000000"/><w:sz w:val="20"/><w:szCs w:val="20"/><w:b w:val="0"/><w:bCs w:val="0"/></w:rPr><w:t xml:space="preserve">Net revenue from our Surgical & Sports Medicine products decreased by $0.2 million, or 2% to $7.2 million in the three months ended September 30, 2023 from $7.3 million in the three months ended September 30, 2022. Net revenue from our Surgical & Sports Medicine products decreased by $0.8 million, or 4%, to $21.1 million in the nine months ended September 30, 2023 from $22.0 million in the nine months ended September 30, 2022. The decrease in Surgical & Sports Medicine net revenue was primarily due to a shift in distributor focus.</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8900" w:type="dxa"/><w:gridCol w:w="12700" w:type="dxa"/><w:gridCol w:w="50" w:type="dxa"/><w:gridCol w:w="26300" w:type="dxa"/><w:gridCol w:w="50" w:type="dxa"/><w:gridCol w:w="12700" w:type="dxa"/><w:gridCol w:w="50" w:type="dxa"/><w:gridCol w:w="26300" w:type="dxa"/><w:gridCol w:w="50" w:type="dxa"/><w:gridCol w:w="12700" w:type="dxa"/><w:gridCol w:w="50" w:type="dxa"/><w:gridCol w:w="15350" w:type="dxa"/><w:gridCol w:w="50" w:type="dxa"/><w:gridCol w:w="49750" w:type="dxa"/><w:gridCol w:w="50" w:type="dxa"/><w:gridCol w:w="35050" w:type="dxa"/><w:gridCol w:w="50" w:type="dxa"/></w:tblGrid><w:tblPr><w:tblW w:w="0" w:type="pct"/><w:tblLayout w:type="autofit"/></w:tblPr><w:tr><w:trPr/><w:tc><w:tcPr><w:tcW w:w="890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15350" w:type="pct"/><w:noWrap/></w:tcPr><w:p><w:pPr/></w:p></w:tc><w:tc><w:tcPr><w:tcW w:w="50" w:type="pct"/><w:noWrap/></w:tcPr><w:p><w:pPr/></w:p></w:tc><w:tc><w:tcPr><w:tcW w:w="49750" w:type="pct"/><w:noWrap/></w:tcPr><w:p><w:pPr/></w:p></w:tc><w:tc><w:tcPr><w:tcW w:w="50" w:type="pct"/><w:noWrap/></w:tcPr><w:p><w:pPr/></w:p></w:tc><w:tc><w:tcPr><w:tcW w:w="350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Cost of goods sold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25,789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26,177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(388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Gross profit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82,742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90,682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(7,940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bl><w:p><w:pPr><w:jc w:val="start"/><w:ind w:left="0" w:right="0" w:firstLine="0" w:hanging="0"/><w:spacing w:before="0" w:after="0"/></w:pPr><w:r><w:rPr><w:rFonts w:ascii="Times New Roman" w:hAnsi="Times New Roman" w:eastAsia="Times New Roman" w:cs="Times New Roman"/><w:sz w:val="24"/><w:szCs w:val="24"/></w:rPr><w:t xml:space="preserve"> </w:t></w:r></w:p><w:tbl><w:tblGrid><w:gridCol w:w="8900" w:type="dxa"/><w:gridCol w:w="12700" w:type="dxa"/><w:gridCol w:w="50" w:type="dxa"/><w:gridCol w:w="26300" w:type="dxa"/><w:gridCol w:w="50" w:type="dxa"/><w:gridCol w:w="12700" w:type="dxa"/><w:gridCol w:w="50" w:type="dxa"/><w:gridCol w:w="26300" w:type="dxa"/><w:gridCol w:w="50" w:type="dxa"/><w:gridCol w:w="12700" w:type="dxa"/><w:gridCol w:w="50" w:type="dxa"/><w:gridCol w:w="15350" w:type="dxa"/><w:gridCol w:w="50" w:type="dxa"/><w:gridCol w:w="49750" w:type="dxa"/><w:gridCol w:w="50" w:type="dxa"/><w:gridCol w:w="35050" w:type="dxa"/><w:gridCol w:w="50" w:type="dxa"/></w:tblGrid><w:tblPr><w:tblW w:w="0" w:type="pct"/><w:tblLayout w:type="autofit"/></w:tblPr><w:tr><w:trPr/><w:tc><w:tcPr><w:tcW w:w="890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26300" w:type="pct"/><w:noWrap/></w:tcPr><w:p><w:pPr/></w:p></w:tc><w:tc><w:tcPr><w:tcW w:w="50" w:type="pct"/><w:noWrap/></w:tcPr><w:p><w:pPr/></w:p></w:tc><w:tc><w:tcPr><w:tcW w:w="12700" w:type="pct"/><w:noWrap/></w:tcPr><w:p><w:pPr/></w:p></w:tc><w:tc><w:tcPr><w:tcW w:w="50" w:type="pct"/><w:noWrap/></w:tcPr><w:p><w:pPr/></w:p></w:tc><w:tc><w:tcPr><w:tcW w:w="15350" w:type="pct"/><w:noWrap/></w:tcPr><w:p><w:pPr/></w:p></w:tc><w:tc><w:tcPr><w:tcW w:w="50" w:type="pct"/><w:noWrap/></w:tcPr><w:p><w:pPr/></w:p></w:tc><w:tc><w:tcPr><w:tcW w:w="49750" w:type="pct"/><w:noWrap/></w:tcPr><w:p><w:pPr/></w:p></w:tc><w:tc><w:tcPr><w:tcW w:w="50" w:type="pct"/><w:noWrap/></w:tcPr><w:p><w:pPr/></w:p></w:tc><w:tc><w:tcPr><w:tcW w:w="350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Cost of goods sold</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78,712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77,909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803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Gross profit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254,777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257,468</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(2,691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b w:val="0"/><w:bCs w:val="0"/></w:rPr><w:t xml:space="preserve">Cost of goods sold in the three months ended September 30, 2023 was $25.8 million, which is relatively consistent with the cost of goods sold of $26.2 million in the three months ended September 30, 2022. Cost of goods sold increased by $0.8 million, or 1%, to $78.7 million in the nine months ended September 30, 2023 from $77.9 million in the nine months ended September 30, 2022. The increase in cost of goods sold in the nine month period ended September 30, 2023, was primarily due to an increase in sales volume as well as a shift in product mix.</w:t></w:r><w:r><w:rPr><w:rFonts w:ascii="Times New Roman" w:hAnsi="Times New Roman" w:eastAsia="Times New Roman" w:cs="Times New Roman"/><w:color w:val="000000"/><w:sz w:val="20"/><w:szCs w:val="20"/><w:b w:val="0"/><w:bCs w:val="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Gross profit decreased by $7.9 million, or 9%, to $82.7 million in the three months ended September 30, 2023 from $90.7 million in the three months ended September 30, 2022. The decrease in gross profit resulted primarily from a decrease in the pricing for certain of our products, as well as a shift in product mix.</w:t></w:r></w:p><w:p><w:pPr><w:jc w:val="start"/><w:ind w:left="0" w:right="0" w:firstLine="0" w:hanging="0"/><w:spacing w:before="240" w:after="0"/></w:pPr><w:r><w:rPr><w:rFonts w:ascii="Times New Roman" w:hAnsi="Times New Roman" w:eastAsia="Times New Roman" w:cs="Times New Roman"/><w:color w:val="000000"/><w:sz w:val="20"/><w:szCs w:val="20"/><w:b w:val="0"/><w:bCs w:val="0"/></w:rPr><w:t xml:space="preserve">Gross profit decreased by $2.7 million, or 1%, to $254.8 million in the nine months ended September 30, 2023 from $257.5 million in the nine months ended September 30, 2022. The decrease in gross profit resulted primarily from a decrease in the pricing for certain of our products, as well as a shift in product mix.</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26</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4700" w:type="dxa"/><w:gridCol w:w="7850" w:type="dxa"/><w:gridCol w:w="50" w:type="dxa"/><w:gridCol w:w="3450" w:type="dxa"/><w:gridCol w:w="50" w:type="dxa"/><w:gridCol w:w="7850" w:type="dxa"/><w:gridCol w:w="50" w:type="dxa"/><w:gridCol w:w="3450" w:type="dxa"/><w:gridCol w:w="50" w:type="dxa"/><w:gridCol w:w="7850" w:type="dxa"/><w:gridCol w:w="50" w:type="dxa"/><w:gridCol w:w="1950" w:type="dxa"/><w:gridCol w:w="50" w:type="dxa"/><w:gridCol w:w="49850" w:type="dxa"/><w:gridCol w:w="50" w:type="dxa"/><w:gridCol w:w="33350" w:type="dxa"/><w:gridCol w:w="50" w:type="dxa"/></w:tblGrid><w:tblPr><w:tblW w:w="0" w:type="pct"/><w:tblLayout w:type="autofit"/></w:tblPr><w:tr><w:trPr/><w:tc><w:tcPr><w:tcW w:w="4700" w:type="pct"/><w:noWrap/></w:tcPr><w:p><w:pPr/></w:p></w:tc><w:tc><w:tcPr><w:tcW w:w="7850" w:type="pct"/><w:noWrap/></w:tcPr><w:p><w:pPr/></w:p></w:tc><w:tc><w:tcPr><w:tcW w:w="50" w:type="pct"/><w:noWrap/></w:tcPr><w:p><w:pPr/></w:p></w:tc><w:tc><w:tcPr><w:tcW w:w="3450" w:type="pct"/><w:noWrap/></w:tcPr><w:p><w:pPr/></w:p></w:tc><w:tc><w:tcPr><w:tcW w:w="50" w:type="pct"/><w:noWrap/></w:tcPr><w:p><w:pPr/></w:p></w:tc><w:tc><w:tcPr><w:tcW w:w="7850" w:type="pct"/><w:noWrap/></w:tcPr><w:p><w:pPr/></w:p></w:tc><w:tc><w:tcPr><w:tcW w:w="50" w:type="pct"/><w:noWrap/></w:tcPr><w:p><w:pPr/></w:p></w:tc><w:tc><w:tcPr><w:tcW w:w="3450" w:type="pct"/><w:noWrap/></w:tcPr><w:p><w:pPr/></w:p></w:tc><w:tc><w:tcPr><w:tcW w:w="50" w:type="pct"/><w:noWrap/></w:tcPr><w:p><w:pPr/></w:p></w:tc><w:tc><w:tcPr><w:tcW w:w="7850" w:type="pct"/><w:noWrap/></w:tcPr><w:p><w:pPr/></w:p></w:tc><w:tc><w:tcPr><w:tcW w:w="50" w:type="pct"/><w:noWrap/></w:tcPr><w:p><w:pPr/></w:p></w:tc><w:tc><w:tcPr><w:tcW w:w="1950" w:type="pct"/><w:noWrap/></w:tcPr><w:p><w:pPr/></w:p></w:tc><w:tc><w:tcPr><w:tcW w:w="50" w:type="pct"/><w:noWrap/></w:tcPr><w:p><w:pPr/></w:p></w:tc><w:tc><w:tcPr><w:tcW w:w="49850" w:type="pct"/><w:noWrap/></w:tcPr><w:p><w:pPr/></w:p></w:tc><w:tc><w:tcPr><w:tcW w:w="50" w:type="pct"/><w:noWrap/></w:tcPr><w:p><w:pPr/></w:p></w:tc><w:tc><w:tcPr><w:tcW w:w="333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Research and development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10,470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9,575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895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0" w:after="0"/></w:pPr><w:r><w:rPr><w:rFonts w:ascii="Times New Roman" w:hAnsi="Times New Roman" w:eastAsia="Times New Roman" w:cs="Times New Roman"/><w:sz w:val="20"/><w:szCs w:val="20"/></w:rPr><w:t xml:space="preserve"> </w:t></w:r></w:p><w:tbl><w:tblGrid><w:gridCol w:w="4700" w:type="dxa"/><w:gridCol w:w="7850" w:type="dxa"/><w:gridCol w:w="50" w:type="dxa"/><w:gridCol w:w="3450" w:type="dxa"/><w:gridCol w:w="50" w:type="dxa"/><w:gridCol w:w="7850" w:type="dxa"/><w:gridCol w:w="50" w:type="dxa"/><w:gridCol w:w="3450" w:type="dxa"/><w:gridCol w:w="50" w:type="dxa"/><w:gridCol w:w="7850" w:type="dxa"/><w:gridCol w:w="50" w:type="dxa"/><w:gridCol w:w="1950" w:type="dxa"/><w:gridCol w:w="50" w:type="dxa"/><w:gridCol w:w="49850" w:type="dxa"/><w:gridCol w:w="50" w:type="dxa"/><w:gridCol w:w="33350" w:type="dxa"/><w:gridCol w:w="50" w:type="dxa"/></w:tblGrid><w:tblPr><w:tblW w:w="0" w:type="pct"/><w:tblLayout w:type="autofit"/></w:tblPr><w:tr><w:trPr/><w:tc><w:tcPr><w:tcW w:w="4700" w:type="pct"/><w:noWrap/></w:tcPr><w:p><w:pPr/></w:p></w:tc><w:tc><w:tcPr><w:tcW w:w="7850" w:type="pct"/><w:noWrap/></w:tcPr><w:p><w:pPr/></w:p></w:tc><w:tc><w:tcPr><w:tcW w:w="50" w:type="pct"/><w:noWrap/></w:tcPr><w:p><w:pPr/></w:p></w:tc><w:tc><w:tcPr><w:tcW w:w="3450" w:type="pct"/><w:noWrap/></w:tcPr><w:p><w:pPr/></w:p></w:tc><w:tc><w:tcPr><w:tcW w:w="50" w:type="pct"/><w:noWrap/></w:tcPr><w:p><w:pPr/></w:p></w:tc><w:tc><w:tcPr><w:tcW w:w="7850" w:type="pct"/><w:noWrap/></w:tcPr><w:p><w:pPr/></w:p></w:tc><w:tc><w:tcPr><w:tcW w:w="50" w:type="pct"/><w:noWrap/></w:tcPr><w:p><w:pPr/></w:p></w:tc><w:tc><w:tcPr><w:tcW w:w="3450" w:type="pct"/><w:noWrap/></w:tcPr><w:p><w:pPr/></w:p></w:tc><w:tc><w:tcPr><w:tcW w:w="50" w:type="pct"/><w:noWrap/></w:tcPr><w:p><w:pPr/></w:p></w:tc><w:tc><w:tcPr><w:tcW w:w="7850" w:type="pct"/><w:noWrap/></w:tcPr><w:p><w:pPr/></w:p></w:tc><w:tc><w:tcPr><w:tcW w:w="50" w:type="pct"/><w:noWrap/></w:tcPr><w:p><w:pPr/></w:p></w:tc><w:tc><w:tcPr><w:tcW w:w="1950" w:type="pct"/><w:noWrap/></w:tcPr><w:p><w:pPr/></w:p></w:tc><w:tc><w:tcPr><w:tcW w:w="50" w:type="pct"/><w:noWrap/></w:tcPr><w:p><w:pPr/></w:p></w:tc><w:tc><w:tcPr><w:tcW w:w="49850" w:type="pct"/><w:noWrap/></w:tcPr><w:p><w:pPr/></w:p></w:tc><w:tc><w:tcPr><w:tcW w:w="50" w:type="pct"/><w:noWrap/></w:tcPr><w:p><w:pPr/></w:p></w:tc><w:tc><w:tcPr><w:tcW w:w="333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Research and development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32,610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28,367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4,243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b w:val="0"/><w:bCs w:val="0"/></w:rPr><w:t xml:space="preserve">Research and development expenses increased by $0.9 million, or 9%, to $10.5 million in the three months ended September 30, 2023 from $9.6 million in the three months ended September 30, 2022. Research and development expenses increased by $4.2 million, or 15%, to $32.6 million in the nine months ended September 30, 2023 from $28.4 million in the nine months ended September 30, 2022.The increase in research and development expenses was primarily due to an increase in product costs associated with our pipeline products not yet commercialized, an increase in the clinical study and related costs necessary to seek regulatory approvals for certain of our products, and increased headcount associated with our existing Advanced Wound Care and Surgical & Sports Medicine products.</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31550" w:type="dxa"/><w:gridCol w:w="7300" w:type="dxa"/><w:gridCol w:w="50" w:type="dxa"/><w:gridCol w:w="29700000000000050" w:type="dxa"/><w:gridCol w:w="50" w:type="dxa"/><w:gridCol w:w="7300" w:type="dxa"/><w:gridCol w:w="50" w:type="dxa"/><w:gridCol w:w="29700000000000050" w:type="dxa"/><w:gridCol w:w="50" w:type="dxa"/><w:gridCol w:w="7300" w:type="dxa"/><w:gridCol w:w="50" w:type="dxa"/><w:gridCol w:w="14899999999999900" w:type="dxa"/><w:gridCol w:w="50" w:type="dxa"/><w:gridCol w:w="49400" w:type="dxa"/><w:gridCol w:w="50" w:type="dxa"/><w:gridCol w:w="22650" w:type="dxa"/><w:gridCol w:w="50" w:type="dxa"/></w:tblGrid><w:tblPr><w:tblW w:w="0" w:type="pct"/><w:tblLayout w:type="autofit"/></w:tblPr><w:tr><w:trPr/><w:tc><w:tcPr><w:tcW w:w="31550" w:type="pct"/><w:noWrap/></w:tcPr><w:p><w:pPr/></w:p></w:tc><w:tc><w:tcPr><w:tcW w:w="7300" w:type="pct"/><w:noWrap/></w:tcPr><w:p><w:pPr/></w:p></w:tc><w:tc><w:tcPr><w:tcW w:w="50" w:type="pct"/><w:noWrap/></w:tcPr><w:p><w:pPr/></w:p></w:tc><w:tc><w:tcPr><w:tcW w:w="29700000000000050" w:type="pct"/><w:noWrap/></w:tcPr><w:p><w:pPr/></w:p></w:tc><w:tc><w:tcPr><w:tcW w:w="50" w:type="pct"/><w:noWrap/></w:tcPr><w:p><w:pPr/></w:p></w:tc><w:tc><w:tcPr><w:tcW w:w="7300" w:type="pct"/><w:noWrap/></w:tcPr><w:p><w:pPr/></w:p></w:tc><w:tc><w:tcPr><w:tcW w:w="50" w:type="pct"/><w:noWrap/></w:tcPr><w:p><w:pPr/></w:p></w:tc><w:tc><w:tcPr><w:tcW w:w="29700000000000050" w:type="pct"/><w:noWrap/></w:tcPr><w:p><w:pPr/></w:p></w:tc><w:tc><w:tcPr><w:tcW w:w="50" w:type="pct"/><w:noWrap/></w:tcPr><w:p><w:pPr/></w:p></w:tc><w:tc><w:tcPr><w:tcW w:w="7300" w:type="pct"/><w:noWrap/></w:tcPr><w:p><w:pPr/></w:p></w:tc><w:tc><w:tcPr><w:tcW w:w="50" w:type="pct"/><w:noWrap/></w:tcPr><w:p><w:pPr/></w:p></w:tc><w:tc><w:tcPr><w:tcW w:w="14899999999999900" w:type="pct"/><w:noWrap/></w:tcPr><w:p><w:pPr/></w:p></w:tc><w:tc><w:tcPr><w:tcW w:w="50" w:type="pct"/><w:noWrap/></w:tcPr><w:p><w:pPr/></w:p></w:tc><w:tc><w:tcPr><w:tcW w:w="49400" w:type="pct"/><w:noWrap/></w:tcPr><w:p><w:pPr/></w:p></w:tc><w:tc><w:tcPr><w:tcW w:w="50" w:type="pct"/><w:noWrap/></w:tcPr><w:p><w:pPr/></w:p></w:tc><w:tc><w:tcPr><w:tcW w:w="226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Selling, general and administrative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64,222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79,328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(15,106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0" w:after="0"/></w:pPr><w:r><w:rPr><w:rFonts w:ascii="Times New Roman" w:hAnsi="Times New Roman" w:eastAsia="Times New Roman" w:cs="Times New Roman"/><w:sz w:val="24"/><w:szCs w:val="24"/></w:rPr><w:t xml:space="preserve"> </w:t></w:r></w:p><w:tbl><w:tblGrid><w:gridCol w:w="31550" w:type="dxa"/><w:gridCol w:w="7300" w:type="dxa"/><w:gridCol w:w="50" w:type="dxa"/><w:gridCol w:w="29700000000000050" w:type="dxa"/><w:gridCol w:w="50" w:type="dxa"/><w:gridCol w:w="7300" w:type="dxa"/><w:gridCol w:w="50" w:type="dxa"/><w:gridCol w:w="29700000000000050" w:type="dxa"/><w:gridCol w:w="50" w:type="dxa"/><w:gridCol w:w="7300" w:type="dxa"/><w:gridCol w:w="50" w:type="dxa"/><w:gridCol w:w="14899999999999900" w:type="dxa"/><w:gridCol w:w="50" w:type="dxa"/><w:gridCol w:w="49400" w:type="dxa"/><w:gridCol w:w="50" w:type="dxa"/><w:gridCol w:w="22650" w:type="dxa"/><w:gridCol w:w="50" w:type="dxa"/></w:tblGrid><w:tblPr><w:tblW w:w="0" w:type="pct"/><w:tblLayout w:type="autofit"/></w:tblPr><w:tr><w:trPr/><w:tc><w:tcPr><w:tcW w:w="31550" w:type="pct"/><w:noWrap/></w:tcPr><w:p><w:pPr/></w:p></w:tc><w:tc><w:tcPr><w:tcW w:w="7300" w:type="pct"/><w:noWrap/></w:tcPr><w:p><w:pPr/></w:p></w:tc><w:tc><w:tcPr><w:tcW w:w="50" w:type="pct"/><w:noWrap/></w:tcPr><w:p><w:pPr/></w:p></w:tc><w:tc><w:tcPr><w:tcW w:w="29700000000000050" w:type="pct"/><w:noWrap/></w:tcPr><w:p><w:pPr/></w:p></w:tc><w:tc><w:tcPr><w:tcW w:w="50" w:type="pct"/><w:noWrap/></w:tcPr><w:p><w:pPr/></w:p></w:tc><w:tc><w:tcPr><w:tcW w:w="7300" w:type="pct"/><w:noWrap/></w:tcPr><w:p><w:pPr/></w:p></w:tc><w:tc><w:tcPr><w:tcW w:w="50" w:type="pct"/><w:noWrap/></w:tcPr><w:p><w:pPr/></w:p></w:tc><w:tc><w:tcPr><w:tcW w:w="29700000000000050" w:type="pct"/><w:noWrap/></w:tcPr><w:p><w:pPr/></w:p></w:tc><w:tc><w:tcPr><w:tcW w:w="50" w:type="pct"/><w:noWrap/></w:tcPr><w:p><w:pPr/></w:p></w:tc><w:tc><w:tcPr><w:tcW w:w="7300" w:type="pct"/><w:noWrap/></w:tcPr><w:p><w:pPr/></w:p></w:tc><w:tc><w:tcPr><w:tcW w:w="50" w:type="pct"/><w:noWrap/></w:tcPr><w:p><w:pPr/></w:p></w:tc><w:tc><w:tcPr><w:tcW w:w="14899999999999900" w:type="pct"/><w:noWrap/></w:tcPr><w:p><w:pPr/></w:p></w:tc><w:tc><w:tcPr><w:tcW w:w="50" w:type="pct"/><w:noWrap/></w:tcPr><w:p><w:pPr/></w:p></w:tc><w:tc><w:tcPr><w:tcW w:w="49400" w:type="pct"/><w:noWrap/></w:tcPr><w:p><w:pPr/></w:p></w:tc><w:tc><w:tcPr><w:tcW w:w="50" w:type="pct"/><w:noWrap/></w:tcPr><w:p><w:pPr/></w:p></w:tc><w:tc><w:tcPr><w:tcW w:w="226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Selling, general and administrative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208,373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215,515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(7,142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b w:val="0"/><w:bCs w:val="0"/></w:rPr><w:t xml:space="preserve">Selling, general and administrative expenses decreased by $15.1 million, or 19%, to $64.2 million in the three months ended September 30, 2023 from $79.3 million in the three months ended September 30, 2022. The decrease in selling, general and administrative expenses was primarily due to a $7.8 million decrease related to decreased travel, marketing programs, and sales meetings, a onetime $4.2 million charge in 2022 related to disposal of certain equipment related to the construction in progress in one of the Company's Canton, Massachusetts facilities, a $2.0 million decrease in consulting and other costs associated with the ongoing operations of our business and the ERP system implementation, a $1.8 million decrease in compensation and restructuring costs, largely related to decreased commissions paid to our sales force. These decreases were partially offset by increases in legal costs and compensation costs of $1.6 million related to the LCD.</w:t></w:r><w:r><w:rPr><w:rFonts w:ascii="Times New Roman" w:hAnsi="Times New Roman" w:eastAsia="Times New Roman" w:cs="Times New Roman"/><w:color w:val="000000"/><w:sz w:val="20"/><w:szCs w:val="20"/><w:b w:val="0"/><w:bCs w:val="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Selling, general and administrative expenses decreased by $7.1 million, or 3%, to $208.4 million in the nine months ended September 30, 2023 from $215.5 million in the nine months ended September 30, 2022. The decrease in selling, general and administrative expenses was primarily due to a onetime $4.3 million charge in 2022 related to disposal of certain equipment related to the construction in progress in one of the Company's Canton, Massachusetts facilities, a $3.2 million decrease in compensation cost, largely related to decreased commissions paid to our sales force, and $2.0 million decrease related to decreased travel and marketing programs. The decreases were partially offset by a $1.7 million increase in legal, consulting and other costs associated with the ongoing operations of our business and the ERP system implementation and the costs incurred related to the LCD and a $1.1 million increase in bank fees and restructuring costs.</w:t></w:r></w:p><w:p><w:pPr><w:jc w:val="start"/><w:ind w:left="0" w:right="0" w:firstLine="0" w:hanging="0"/><w:spacing w:before="12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27</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1"/><w:bCs w:val="1"/><w:i w:val="1"/><w:iCs w:val="1"/></w:rPr><w:t xml:space="preserve">Other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1150" w:type="dxa"/><w:gridCol w:w="8750" w:type="dxa"/><w:gridCol w:w="50" w:type="dxa"/><w:gridCol w:w="39500000000000050" w:type="dxa"/><w:gridCol w:w="50" w:type="dxa"/><w:gridCol w:w="8750" w:type="dxa"/><w:gridCol w:w="50" w:type="dxa"/><w:gridCol w:w="39500000000000050" w:type="dxa"/><w:gridCol w:w="50" w:type="dxa"/><w:gridCol w:w="8750" w:type="dxa"/><w:gridCol w:w="50" w:type="dxa"/><w:gridCol w:w="25550000000000050" w:type="dxa"/><w:gridCol w:w="50" w:type="dxa"/><w:gridCol w:w="49750" w:type="dxa"/><w:gridCol w:w="50" w:type="dxa"/><w:gridCol w:w="48250" w:type="dxa"/><w:gridCol w:w="50" w:type="dxa"/></w:tblGrid><w:tblPr><w:tblW w:w="0" w:type="pct"/><w:tblLayout w:type="autofit"/></w:tblPr><w:tr><w:trPr/><w:tc><w:tcPr><w:tcW w:w="21150" w:type="pct"/><w:noWrap/></w:tcPr><w:p><w:pPr/></w:p></w:tc><w:tc><w:tcPr><w:tcW w:w="8750" w:type="pct"/><w:noWrap/></w:tcPr><w:p><w:pPr/></w:p></w:tc><w:tc><w:tcPr><w:tcW w:w="50" w:type="pct"/><w:noWrap/></w:tcPr><w:p><w:pPr/></w:p></w:tc><w:tc><w:tcPr><w:tcW w:w="39500000000000050" w:type="pct"/><w:noWrap/></w:tcPr><w:p><w:pPr/></w:p></w:tc><w:tc><w:tcPr><w:tcW w:w="50" w:type="pct"/><w:noWrap/></w:tcPr><w:p><w:pPr/></w:p></w:tc><w:tc><w:tcPr><w:tcW w:w="8750" w:type="pct"/><w:noWrap/></w:tcPr><w:p><w:pPr/></w:p></w:tc><w:tc><w:tcPr><w:tcW w:w="50" w:type="pct"/><w:noWrap/></w:tcPr><w:p><w:pPr/></w:p></w:tc><w:tc><w:tcPr><w:tcW w:w="39500000000000050" w:type="pct"/><w:noWrap/></w:tcPr><w:p><w:pPr/></w:p></w:tc><w:tc><w:tcPr><w:tcW w:w="50" w:type="pct"/><w:noWrap/></w:tcPr><w:p><w:pPr/></w:p></w:tc><w:tc><w:tcPr><w:tcW w:w="8750" w:type="pct"/><w:noWrap/></w:tcPr><w:p><w:pPr/></w:p></w:tc><w:tc><w:tcPr><w:tcW w:w="50" w:type="pct"/><w:noWrap/></w:tcPr><w:p><w:pPr/></w:p></w:tc><w:tc><w:tcPr><w:tcW w:w="25550000000000050" w:type="pct"/><w:noWrap/></w:tcPr><w:p><w:pPr/></w:p></w:tc><w:tc><w:tcPr><w:tcW w:w="50" w:type="pct"/><w:noWrap/></w:tcPr><w:p><w:pPr/></w:p></w:tc><w:tc><w:tcPr><w:tcW w:w="49750" w:type="pct"/><w:noWrap/></w:tcPr><w:p><w:pPr/></w:p></w:tc><w:tc><w:tcPr><w:tcW w:w="50" w:type="pct"/><w:noWrap/></w:tcPr><w:p><w:pPr/></w:p></w:tc><w:tc><w:tcPr><w:tcW w:w="482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Interest expense,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(444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(572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128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Other income (expense), net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31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5</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26</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other expense,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(413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(567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154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21150" w:type="dxa"/><w:gridCol w:w="8750" w:type="dxa"/><w:gridCol w:w="50" w:type="dxa"/><w:gridCol w:w="39500000000000050" w:type="dxa"/><w:gridCol w:w="50" w:type="dxa"/><w:gridCol w:w="8750" w:type="dxa"/><w:gridCol w:w="50" w:type="dxa"/><w:gridCol w:w="39500000000000050" w:type="dxa"/><w:gridCol w:w="50" w:type="dxa"/><w:gridCol w:w="8750" w:type="dxa"/><w:gridCol w:w="50" w:type="dxa"/><w:gridCol w:w="25550000000000050" w:type="dxa"/><w:gridCol w:w="50" w:type="dxa"/><w:gridCol w:w="49750" w:type="dxa"/><w:gridCol w:w="50" w:type="dxa"/><w:gridCol w:w="48250" w:type="dxa"/><w:gridCol w:w="50" w:type="dxa"/></w:tblGrid><w:tblPr><w:tblW w:w="0" w:type="pct"/><w:tblLayout w:type="autofit"/></w:tblPr><w:tr><w:trPr/><w:tc><w:tcPr><w:tcW w:w="21150" w:type="pct"/><w:noWrap/></w:tcPr><w:p><w:pPr/></w:p></w:tc><w:tc><w:tcPr><w:tcW w:w="8750" w:type="pct"/><w:noWrap/></w:tcPr><w:p><w:pPr/></w:p></w:tc><w:tc><w:tcPr><w:tcW w:w="50" w:type="pct"/><w:noWrap/></w:tcPr><w:p><w:pPr/></w:p></w:tc><w:tc><w:tcPr><w:tcW w:w="39500000000000050" w:type="pct"/><w:noWrap/></w:tcPr><w:p><w:pPr/></w:p></w:tc><w:tc><w:tcPr><w:tcW w:w="50" w:type="pct"/><w:noWrap/></w:tcPr><w:p><w:pPr/></w:p></w:tc><w:tc><w:tcPr><w:tcW w:w="8750" w:type="pct"/><w:noWrap/></w:tcPr><w:p><w:pPr/></w:p></w:tc><w:tc><w:tcPr><w:tcW w:w="50" w:type="pct"/><w:noWrap/></w:tcPr><w:p><w:pPr/></w:p></w:tc><w:tc><w:tcPr><w:tcW w:w="39500000000000050" w:type="pct"/><w:noWrap/></w:tcPr><w:p><w:pPr/></w:p></w:tc><w:tc><w:tcPr><w:tcW w:w="50" w:type="pct"/><w:noWrap/></w:tcPr><w:p><w:pPr/></w:p></w:tc><w:tc><w:tcPr><w:tcW w:w="8750" w:type="pct"/><w:noWrap/></w:tcPr><w:p><w:pPr/></w:p></w:tc><w:tc><w:tcPr><w:tcW w:w="50" w:type="pct"/><w:noWrap/></w:tcPr><w:p><w:pPr/></w:p></w:tc><w:tc><w:tcPr><w:tcW w:w="25550000000000050" w:type="pct"/><w:noWrap/></w:tcPr><w:p><w:pPr/></w:p></w:tc><w:tc><w:tcPr><w:tcW w:w="50" w:type="pct"/><w:noWrap/></w:tcPr><w:p><w:pPr/></w:p></w:tc><w:tc><w:tcPr><w:tcW w:w="49750" w:type="pct"/><w:noWrap/></w:tcPr><w:p><w:pPr/></w:p></w:tc><w:tc><w:tcPr><w:tcW w:w="50" w:type="pct"/><w:noWrap/></w:tcPr><w:p><w:pPr/></w:p></w:tc><w:tc><w:tcPr><w:tcW w:w="482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Interest expense,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(1,688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(2,039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351</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Other expense, net</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82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(19</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101</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Total other expense, net</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(1,606</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(2,058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452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ind w:left="0" w:right="0" w:firstLine="0" w:hanging="0"/><w:spacing w:before="0" w:after="0"/></w:pPr><w:r><w:rPr><w:rFonts w:ascii="Times New Roman" w:hAnsi="Times New Roman" w:eastAsia="Times New Roman" w:cs="Times New Roman"/><w:sz w:val="2"/><w:szCs w:val="2"/><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 not meaningful</w:t></w:r></w:p><w:p><w:pPr><w:jc w:val="start"/><w:ind w:left="0" w:right="0" w:firstLine="0" w:hanging="0"/><w:spacing w:before="120" w:after="0"/></w:pPr><w:r><w:rPr><w:rFonts w:ascii="Times New Roman" w:hAnsi="Times New Roman" w:eastAsia="Times New Roman" w:cs="Times New Roman"/><w:color w:val="000000"/><w:sz w:val="20"/><w:szCs w:val="20"/><w:b w:val="0"/><w:bCs w:val="0"/></w:rPr><w:t xml:space="preserve">Other expense, net, decreased by $0.2 million, or 27%, to $0.4 million in the three months ended September 30, 2023 from $0.6 million in the three months ended September 30, 2022. Other expense, net, decreased by $0.5 million, or 22% to $1.6 million in the nine months ended September 30, 2023 from $2.1 million in the nine months ended September 30, 2022. The decrease in other expense, net was primarily due to the decrease in interest expense resulting from the lower debt balance under the 2021 Credit Agreement.</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Income Tax Expense</w:t></w:r></w:p><w:p><w:pPr><w:jc w:val="start"/><w:ind w:left="0" w:right="0" w:firstLine="0" w:hanging="0"/><w:spacing w:before="0" w:after="0"/></w:pPr><w:r><w:rPr><w:rFonts w:ascii="Times New Roman" w:hAnsi="Times New Roman" w:eastAsia="Times New Roman" w:cs="Times New Roman"/><w:sz w:val="24"/><w:szCs w:val="24"/></w:rPr><w:t xml:space="preserve"> </w:t></w:r></w:p><w:tbl><w:tblGrid><w:gridCol w:w="26800" w:type="dxa"/><w:gridCol w:w="8850" w:type="dxa"/><w:gridCol w:w="50" w:type="dxa"/><w:gridCol w:w="40450" w:type="dxa"/><w:gridCol w:w="50" w:type="dxa"/><w:gridCol w:w="8850" w:type="dxa"/><w:gridCol w:w="50" w:type="dxa"/><w:gridCol w:w="40450" w:type="dxa"/><w:gridCol w:w="50" w:type="dxa"/><w:gridCol w:w="8850" w:type="dxa"/><w:gridCol w:w="50" w:type="dxa"/><w:gridCol w:w="2650" w:type="dxa"/><w:gridCol w:w="50" w:type="dxa"/><w:gridCol w:w="49850" w:type="dxa"/><w:gridCol w:w="50" w:type="dxa"/><w:gridCol w:w="39350" w:type="dxa"/><w:gridCol w:w="50" w:type="dxa"/></w:tblGrid><w:tblPr><w:tblW w:w="0" w:type="pct"/><w:tblLayout w:type="autofit"/></w:tblPr><w:tr><w:trPr/><w:tc><w:tcPr><w:tcW w:w="26800" w:type="pct"/><w:noWrap/></w:tcPr><w:p><w:pPr/></w:p></w:tc><w:tc><w:tcPr><w:tcW w:w="8850" w:type="pct"/><w:noWrap/></w:tcPr><w:p><w:pPr/></w:p></w:tc><w:tc><w:tcPr><w:tcW w:w="50" w:type="pct"/><w:noWrap/></w:tcPr><w:p><w:pPr/></w:p></w:tc><w:tc><w:tcPr><w:tcW w:w="40450" w:type="pct"/><w:noWrap/></w:tcPr><w:p><w:pPr/></w:p></w:tc><w:tc><w:tcPr><w:tcW w:w="50" w:type="pct"/><w:noWrap/></w:tcPr><w:p><w:pPr/></w:p></w:tc><w:tc><w:tcPr><w:tcW w:w="8850" w:type="pct"/><w:noWrap/></w:tcPr><w:p><w:pPr/></w:p></w:tc><w:tc><w:tcPr><w:tcW w:w="50" w:type="pct"/><w:noWrap/></w:tcPr><w:p><w:pPr/></w:p></w:tc><w:tc><w:tcPr><w:tcW w:w="40450" w:type="pct"/><w:noWrap/></w:tcPr><w:p><w:pPr/></w:p></w:tc><w:tc><w:tcPr><w:tcW w:w="50" w:type="pct"/><w:noWrap/></w:tcPr><w:p><w:pPr/></w:p></w:tc><w:tc><w:tcPr><w:tcW w:w="8850" w:type="pct"/><w:noWrap/></w:tcPr><w:p><w:pPr/></w:p></w:tc><w:tc><w:tcPr><w:tcW w:w="50" w:type="pct"/><w:noWrap/></w:tcPr><w:p><w:pPr/></w:p></w:tc><w:tc><w:tcPr><w:tcW w:w="2650" w:type="pct"/><w:noWrap/></w:tcPr><w:p><w:pPr/></w:p></w:tc><w:tc><w:tcPr><w:tcW w:w="50" w:type="pct"/><w:noWrap/></w:tcPr><w:p><w:pPr/></w:p></w:tc><w:tc><w:tcPr><w:tcW w:w="49850" w:type="pct"/><w:noWrap/></w:tcPr><w:p><w:pPr/></w:p></w:tc><w:tc><w:tcPr><w:tcW w:w="50" w:type="pct"/><w:noWrap/></w:tcPr><w:p><w:pPr/></w:p></w:tc><w:tc><w:tcPr><w:tcW w:w="393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Income tax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(4,470</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(997</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(3,473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348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37650" w:type="dxa"/><w:gridCol w:w="9100" w:type="dxa"/><w:gridCol w:w="50" w:type="dxa"/><w:gridCol w:w="4300" w:type="dxa"/><w:gridCol w:w="50" w:type="dxa"/><w:gridCol w:w="9100" w:type="dxa"/><w:gridCol w:w="50" w:type="dxa"/><w:gridCol w:w="4300" w:type="dxa"/><w:gridCol w:w="50" w:type="dxa"/><w:gridCol w:w="9100" w:type="dxa"/><w:gridCol w:w="50" w:type="dxa"/><w:gridCol w:w="28949999999999950" w:type="dxa"/><w:gridCol w:w="50" w:type="dxa"/><w:gridCol w:w="100" w:type="dxa"/><w:gridCol w:w="50" w:type="dxa"/><w:gridCol w:w="200" w:type="dxa"/><w:gridCol w:w="50" w:type="dxa"/></w:tblGrid><w:tblPr><w:tblW w:w="0" w:type="pct"/><w:tblLayout w:type="autofit"/></w:tblPr><w:tr><w:trPr/><w:tc><w:tcPr><w:tcW w:w="37650" w:type="pct"/><w:noWrap/></w:tcPr><w:p><w:pPr/></w:p></w:tc><w:tc><w:tcPr><w:tcW w:w="9100" w:type="pct"/><w:noWrap/></w:tcPr><w:p><w:pPr/></w:p></w:tc><w:tc><w:tcPr><w:tcW w:w="50" w:type="pct"/><w:noWrap/></w:tcPr><w:p><w:pPr/></w:p></w:tc><w:tc><w:tcPr><w:tcW w:w="4300" w:type="pct"/><w:noWrap/></w:tcPr><w:p><w:pPr/></w:p></w:tc><w:tc><w:tcPr><w:tcW w:w="50" w:type="pct"/><w:noWrap/></w:tcPr><w:p><w:pPr/></w:p></w:tc><w:tc><w:tcPr><w:tcW w:w="9100" w:type="pct"/><w:noWrap/></w:tcPr><w:p><w:pPr/></w:p></w:tc><w:tc><w:tcPr><w:tcW w:w="50" w:type="pct"/><w:noWrap/></w:tcPr><w:p><w:pPr/></w:p></w:tc><w:tc><w:tcPr><w:tcW w:w="4300" w:type="pct"/><w:noWrap/></w:tcPr><w:p><w:pPr/></w:p></w:tc><w:tc><w:tcPr><w:tcW w:w="50" w:type="pct"/><w:noWrap/></w:tcPr><w:p><w:pPr/></w:p></w:tc><w:tc><w:tcPr><w:tcW w:w="9100" w:type="pct"/><w:noWrap/></w:tcPr><w:p><w:pPr/></w:p></w:tc><w:tc><w:tcPr><w:tcW w:w="50" w:type="pct"/><w:noWrap/></w:tcPr><w:p><w:pPr/></w:p></w:tc><w:tc><w:tcPr><w:tcW w:w="28949999999999950" w:type="pct"/><w:noWrap/></w:tcPr><w:p><w:pPr/></w:p></w:tc><w:tc><w:tcPr><w:tcW w:w="50" w:type="pct"/><w:noWrap/></w:tcPr><w:p><w:pPr/></w:p></w:tc><w:tc><w:tcPr><w:tcW w:w="100" w:type="pct"/><w:noWrap/></w:tcPr><w:p><w:pPr/></w:p></w:tc><w:tc><w:tcPr><w:tcW w:w="50" w:type="pct"/><w:noWrap/></w:tcPr><w:p><w:pPr/></w:p></w:tc><w:tc><w:tcPr><w:tcW w:w="20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Change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14"/><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 except for percentages)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Income tax expense</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(6,675</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(3,482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(3,193</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92</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Income tax expense increased by $3.5 million, or 348%, to $4.5 million in the three months ended September 30, 2023 from $1.0 million in the three months ended September 30, 2022. Income tax expense increased by $3.2 million, or 92%, to $6.7 million in the nine months ended September 30, 2023 from $3.5 million in the nine months ended September 30, 2022. The change in the income tax expense is attributable to an increase in the forecasted rate of 54.21% for the twelve months ended December 31, 2023 as compared to the forecasted rate of 29.85% for the twelve months ended December 31, 2022. The rate increase for the twelve months ended December 31, 2023 is due to a larger forecasted tax adjustment for executive compensation pursuant to Internal Revenue Code </w:t></w:r><w:r><w:rPr><w:rFonts w:ascii="'Calibri'" w:hAnsi="'Calibri'" w:eastAsia="'Calibri'" w:cs="'Calibri'"/><w:color w:val="000000"/><w:sz w:val="20"/><w:szCs w:val="20"/><w:b w:val="0"/><w:bCs w:val="0"/></w:rPr><w:t xml:space="preserve">§</w:t></w:r><w:r><w:rPr><w:rFonts w:ascii="Times New Roman" w:hAnsi="Times New Roman" w:eastAsia="Times New Roman" w:cs="Times New Roman"/><w:color w:val="000000"/><w:sz w:val="20"/><w:szCs w:val="20"/><w:b w:val="0"/><w:bCs w:val="0"/></w:rPr><w:t xml:space="preserve">162(m) and the expiration of the temporary 100% deduction for meal and entertainment expenses that was applicable to expenses paid or incurred after December 31, 2020 and before January 1, 2023.</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28</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September 30, 2023, we had an accumulated deficit of $40.4 million and working capital of $144.1 million which included $98.2 million in cash and cash equivalents. We also have $125.0 million available for future revolving borrowings under our Revolving Facility (see Note “13. Long-Term Debt Obligations” to our condensed consolidated financial statements included in this Quarterly Report on Form 10-Q). For the nine months ended September 30, 2023, we reported net revenue of $333.5 million, a net income of $5.5 million and $20.3 million of cash inflows from operating activities. We expect that our cash on hand and other components of working capital as of September 30, 2023, availability under the 2021 Credit Agreement, plus net cash flows from product sales, will be sufficient to fund our operating expenses, capital expenditure requirements and debt service payments for at least 12 months beyond the filing date of this quarterly report.</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While the COVID-19 pandemic has not materially adversely affected our financial results and business operations to date, we continue to closely monitor ongoing developments in connection with the pandemic that could negatively affect our commercial prospects, cash position and access to capital in fiscal 2023 or beyond. We will continue to assess our cash and other sources of liquidity and, if circumstances warrant, we will make appropriate adjustments to our operating plan.</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Cash Flows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following table summarizes our cash flows for each of the periods presented:</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15350" w:type="dxa"/><w:gridCol w:w="250" w:type="dxa"/><w:gridCol w:w="50" w:type="dxa"/><w:gridCol w:w="38850" w:type="dxa"/><w:gridCol w:w="50" w:type="dxa"/><w:gridCol w:w="250" w:type="dxa"/><w:gridCol w:w="50" w:type="dxa"/><w:gridCol w:w="45850" w:type="dxa"/><w:gridCol w:w="50" w:type="dxa"/></w:tblGrid><w:tblPr><w:tblW w:w="0" w:type="pct"/><w:tblLayout w:type="autofit"/></w:tblPr><w:tr><w:trPr/><w:tc><w:tcPr><w:tcW w:w="15350" w:type="pct"/><w:noWrap/></w:tcPr><w:p><w:pPr/></w:p></w:tc><w:tc><w:tcPr><w:tcW w:w="250" w:type="pct"/><w:noWrap/></w:tcPr><w:p><w:pPr/></w:p></w:tc><w:tc><w:tcPr><w:tcW w:w="50" w:type="pct"/><w:noWrap/></w:tcPr><w:p><w:pPr/></w:p></w:tc><w:tc><w:tcPr><w:tcW w:w="38850" w:type="pct"/><w:noWrap/></w:tcPr><w:p><w:pPr/></w:p></w:tc><w:tc><w:tcPr><w:tcW w:w="50" w:type="pct"/><w:noWrap/></w:tcPr><w:p><w:pPr/></w:p></w:tc><w:tc><w:tcPr><w:tcW w:w="250" w:type="pct"/><w:noWrap/></w:tcPr><w:p><w:pPr/></w:p></w:tc><w:tc><w:tcPr><w:tcW w:w="50" w:type="pct"/><w:noWrap/></w:tcPr><w:p><w:pPr/></w:p></w:tc><w:tc><w:tcPr><w:tcW w:w="45850" w:type="pct"/><w:noWrap/></w:tcPr><w:p><w:pPr/></w:p></w:tc><w:tc><w:tcPr><w:tcW w:w="50" w:type="pct"/><w:noWrap/></w:tcPr><w:p><w:pP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2022</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ind w:left="0" w:right="0" w:firstLine="0" w:hanging="0"/><w:spacing w:before="0" w:after="0"/></w:pPr><w:r><w:rPr><w:rFonts w:ascii="Times New Roman" w:hAnsi="Times New Roman" w:eastAsia="Times New Roman" w:cs="Times New Roman"/><w:color w:val="000000"/><w:sz w:val="16"/><w:szCs w:val="16"/><w:b w:val="1"/><w:bCs w:val="1"/><w:shd w:val="clear" w:fill="ffffff"/></w:rPr><w:t xml:space="preserve">(in thousands)</w:t></w:r></w:p></w:tc><w:tc><w:tcPr><w:tcW w:w="0" w:type="pct"/><w:vAlign w:val="bottom"/><w:shd w:val="clear" w:fill="ffffff"/><w:noWrap/></w:tcPr><w:p><w:pPr><w:jc w:val="center"/><w:ind w:left="0" w:right="0" w:firstLine="0" w:hanging="0"/><w:spacing w:before="0" w:after="0"/></w:pPr><w:r><w:rPr><w:rFonts w:ascii="Times New Roman" w:hAnsi="Times New Roman" w:eastAsia="Times New Roman" w:cs="Times New Roman"/><w:sz w:val="16"/><w:szCs w:val="16"/><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cash provided by operating activities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20,304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17,059</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Net cash used in investing activities</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(21,040</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(23,242</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Net cash used in financing activities</w:t></w:r></w:p></w:tc><w:tc><w:tcPr><w:tcW w:w="0" w:type="pct"/><w:vAlign w:val="bottom"/><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(3,728</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ind w:left="0" w:right="0" w:firstLine="0" w:hanging="0"/><w:spacing w:before="0" w:after="0"/></w:pPr><w:r><w:rPr><w:rFonts w:ascii="Times New Roman" w:hAnsi="Times New Roman" w:eastAsia="Times New Roman" w:cs="Times New Roman"/><w:color w:val="000000"/><w:sz w:val="20"/><w:szCs w:val="20"/><w:b w:val="0"/><w:bCs w:val="0"/><w:shd w:val="clear" w:fill="cff0fc"/></w:rPr><w:t xml:space="preserve">(324</w:t></w:r></w:p></w:tc><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b w:val="0"/><w:bCs w:val="0"/><w:shd w:val="clear" w:fill="cff0fc"/></w:rPr><w:t xml:space="preserve">)</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Net change in cash, cash equivalents, and restricted cash</w:t></w:r></w:p></w:tc><w:tc><w:tcPr><w:tcW w:w="0" w:type="pct"/><w:vAlign w:val="bottom"/><w:shd w:val="clear" w:fill="ffffff"/><w:noWrap/></w:tcPr><w:p><w:pPr><w:jc w:val="start"/><w:ind w:left="0" w:right="0" w:firstLine="0" w:hanging="0"/><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(4,464</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center"/><w:ind w:left="0" w:right="0" w:firstLine="0" w:hanging="0"/><w:spacing w:before="0" w:after="0"/></w:pPr><w:r><w:rPr><w:rFonts w:ascii="Times New Roman" w:hAnsi="Times New Roman" w:eastAsia="Times New Roman" w:cs="Times New Roman"/><w:sz w:val="2"/><w:szCs w:val="2"/><w:shd w:val="clear" w:fill="ffffff"/></w:rPr><w:t xml:space="preserve"> </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c><w:tcPr><w:tcW w:w="0" w:type="pct"/><w:vAlign w:val="center"/><w:shd w:val="clear" w:fill="ffffff"/><w:noWrap/></w:tcPr><w:p><w:pPr><w:jc w:val="end"/><w:ind w:left="0" w:right="0" w:firstLine="0" w:hanging="0"/><w:spacing w:before="0" w:after="0"/></w:pPr><w:r><w:rPr><w:rFonts w:ascii="Times New Roman" w:hAnsi="Times New Roman" w:eastAsia="Times New Roman" w:cs="Times New Roman"/><w:color w:val="000000"/><w:sz w:val="20"/><w:szCs w:val="20"/><w:b w:val="0"/><w:bCs w:val="0"/><w:shd w:val="clear" w:fill="ffffff"/></w:rPr><w:t xml:space="preserve">(6,507</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b w:val="0"/><w:bCs w:val="0"/><w:shd w:val="clear" w:fill="ffffff"/></w:rPr><w:t xml:space="preserve">)</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b w:val="0"/><w:bCs w:val="0"/><w:i w:val="1"/><w:iCs w:val="1"/></w:rPr><w:t xml:space="preserve">Operating Activities</w:t></w:r><w:r><w:rPr><w:rFonts w:ascii="Times New Roman" w:hAnsi="Times New Roman" w:eastAsia="Times New Roman" w:cs="Times New Roman"/><w:color w:val="000000"/><w:sz w:val="20"/><w:szCs w:val="20"/><w:b w:val="0"/><w:bCs w:val="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2023, net cash provided by operating activities was $20.3 million, resulting from our net income of $5.5 million and non-cash charges of $30.2 million, partially offset by net cash used in connection with changes in our operating assets and liabilities of $15.4 million. Net cash used in changes in our operating assets and liabilities included an increase in inventory of $7.5 million, an increase in prepaid expenses and other current assets of $4.5 million, an increase in accounts receivable of $1.8 million, a decrease in operating lease liabilities of $6.3 million, and a decrease in accounts payable of $3.7 million, partially offset by an increase in accrued expenses and other liabilities of $8.2 million.</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2022,  net cash provided by operating activities was $17.1 million, resulting from our net income of $8.0 million and non-cash charges of $31.8 million, partially offset by net cash used in connection with changes in our operating assets and liabilities of $22.8 million. Net cash used in changes in our operating assets and liabilities included an increase in accounts receivable of $11.5 million, an increase in inventory of $7.3 million, a decrease in operating lease liabilities of $5.3 million, and a decrease in accrued expenses and other current liabilities of $4.0 million, partially offset by an increase in accounts payable of $5.3 million.</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b w:val="0"/><w:bCs w:val="0"/><w:i w:val="1"/><w:iCs w:val="1"/></w:rPr><w:t xml:space="preserve">Investing Activities</w:t></w:r><w:r><w:rPr><w:rFonts w:ascii="Times New Roman" w:hAnsi="Times New Roman" w:eastAsia="Times New Roman" w:cs="Times New Roman"/><w:color w:val="000000"/><w:sz w:val="20"/><w:szCs w:val="20"/><w:b w:val="0"/><w:bCs w:val="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2023, we used $21.0 million of cash in investing activities consisting exclusively of capital expenditures.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29</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2022, we used $23.2 million of cash in investing activities consisting exclusively of capital expenditures.</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b w:val="0"/><w:bCs w:val="0"/><w:i w:val="1"/><w:iCs w:val="1"/></w:rPr><w:t xml:space="preserve">Financing Activities</w:t></w:r><w:r><w:rPr><w:rFonts w:ascii="Times New Roman" w:hAnsi="Times New Roman" w:eastAsia="Times New Roman" w:cs="Times New Roman"/><w:color w:val="000000"/><w:sz w:val="20"/><w:szCs w:val="20"/><w:b w:val="0"/><w:bCs w:val="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2023, net cash used in financing activities was $3.7 million. This consisted of the payment of term loan of $3.3 million, payment of the finance lease obligations and the stock awards activities of $0.3 million, and principal repayments of finance lease obligations of $0.1 million.</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2022, net cash used in financing activities was $0.3 million. This consisted primarily of the payment of term loan and finance lease obligations of $1.1 million and the payment of $0.6 million related to the CPN deferred acquisition consideration, partially offset by the net receipts of $1.4 million in connection with the stock awards activities.</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 August 2021, we and our subsidiaries entered into a credit agreement with SVB and several other lenders, which we refer to as the 2021 Credit Agreement. The 2021 Credit Agreement, as amended, provides for a term loan facility not to exceed $75.0 million (the “Term Loan Facility”) and a revolving credit facility not to exceed $125.0 million (the “Revolving Facility”).</w:t></w:r></w:p><w:p><w:pPr><w:jc w:val="start"/><w:ind w:left="0" w:right="0" w:firstLine="0" w:hanging="0"/><w:spacing w:before="120" w:after="0"/></w:pPr><w:r><w:rPr><w:rFonts w:ascii="Times New Roman" w:hAnsi="Times New Roman" w:eastAsia="Times New Roman" w:cs="Times New Roman"/><w:color w:val="000000"/><w:sz w:val="20"/><w:szCs w:val="20"/><w:b w:val="0"/><w:bCs w:val="0"/></w:rPr><w:t xml:space="preserve">Advances made under the 2021 Credit Agreement may be either SOFR Loans or ABR Loans, at our option. For SOFR Loans, the interest rate is a per annum interest rate equal to the Adjusted Term SOFR</w:t></w:r><w:r><w:rPr><w:rFonts w:ascii="'Calibri'" w:hAnsi="'Calibri'" w:eastAsia="'Calibri'" w:cs="'Calibri'"/><w:color w:val="000000"/><w:sz w:val="20"/><w:szCs w:val="20"/><w:b w:val="0"/><w:bCs w:val="0"/></w:rPr><w:t xml:space="preserve"> </w:t></w:r><w:r><w:rPr><w:rFonts w:ascii="Times New Roman" w:hAnsi="Times New Roman" w:eastAsia="Times New Roman" w:cs="Times New Roman"/><w:color w:val="000000"/><w:sz w:val="20"/><w:szCs w:val="20"/><w:b w:val="0"/><w:bCs w:val="0"/></w:rPr><w:t xml:space="preserve">plus an Applicable Margin between 2.00% to 3.25%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b w:val="0"/><w:bCs w:val="0"/><w:i w:val="1"/><w:iCs w:val="1"/></w:rPr><w:t xml:space="preserve">plus</w:t></w:r><w:r><w:rPr><w:rFonts w:ascii="Times New Roman" w:hAnsi="Times New Roman" w:eastAsia="Times New Roman" w:cs="Times New Roman"/><w:color w:val="000000"/><w:sz w:val="20"/><w:szCs w:val="20"/><w:b w:val="0"/><w:bCs w:val="0"/></w:rPr><w:t xml:space="preserve"> (2) an Applicable Margin between 1.00% to 2.25% based on the Total Net Leverage Ratio. On September 30, 2023, the applicable interest rate for outstanding borrowings is 7.43%.</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2021 Credit Agreement requires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 and the last day of each quarter thereafter until August 6, 2026 (the “Term Loan Maturity Date”), $1.9 million. The remaining principal balance of $50.6 million is also due on the Term Loan Maturity Date. We may prepay the Term Loan Facility. Once repaid,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b w:val="0"/><w:bCs w:val="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of September 30, 2023, we were in compliance with the covenants under the 2021 Credit Agreement. We had outstanding borrowings of $68.0 million under our Term Loan Facility and no borrowings outstanding under our Revolving Facility with $125.0 million available for future revolving borrowings, respectively.</w:t></w:r></w:p><w:p><w:pPr><w:jc w:val="start"/><w:ind w:left="0" w:right="0" w:firstLine="0" w:hanging="0"/><w:spacing w:before="36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Our unaudited condensed consolidated financial statements have been prepared in accordance with GAAP. The preparation of our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liquidity and financial condition. See also our Annual Report on Form 10-K for the fiscal year ended December 31, 2022, for information about these accounting policies as well as a description of our other significant accounting policies.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30</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b w:val="0"/><w:bCs w:val="0"/></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have reviewed all recently issued standards as disclosed in Note “2. Summary of Significant Accounting Policies” to our condensed consolidated financial statements included in this Quarterly Report on Form 10-Q.</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nine months ended September 30, 2023, there were no material changes to our market risk disclosures as set forth in Part II, Item 7A “Quantitative and Qualitative Disclosures About Market Risk” in our Annual Report on Form 10-K for the fiscal year ended December 31, 2022.</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 Company’s management, with the participation of its principal executive officer and principal financial officer, evaluated the effectiveness of its disclosure controls and procedures as of September 30, 2023.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Based on their evaluation, our management, including our principal executive officer and principal financial officer, concluded that, as of September 30, 2023, our disclosure controls and procedures were ineffective because, as disclosed in the Company’s Annual Report for the fiscal year ended December 31, 2022, our management team identified the following material weakness in our internal control over financial reporting: we did not design and maintain effective controls (i) to properly identify and assess significant non-routine transactions and (ii) over information technology general controls and proper segregation of duties to support the proper initiation and recording of transactions and the resulting impact on business process controls and applications that rely on such data.</w:t></w:r></w:p><w:p><w:pPr><w:jc w:val="start"/><w:ind w:left="0" w:right="0" w:firstLine="0" w:hanging="0"/><w:spacing w:before="120" w:after="0"/></w:pPr><w:r><w:rPr><w:rFonts w:ascii="Times New Roman" w:hAnsi="Times New Roman" w:eastAsia="Times New Roman" w:cs="Times New Roman"/><w:color w:val="000000"/><w:sz w:val="20"/><w:szCs w:val="20"/><w:b w:val="0"/><w:bCs w:val="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w:t></w:r></w:p><w:p><w:pPr><w:jc w:val="start"/><w:ind w:left="0" w:right="0" w:firstLine="0" w:hanging="0"/><w:spacing w:before="120" w:after="0"/></w:pPr><w:r><w:rPr><w:rFonts w:ascii="Times New Roman" w:hAnsi="Times New Roman" w:eastAsia="Times New Roman" w:cs="Times New Roman"/><w:color w:val="000000"/><w:sz w:val="20"/><w:szCs w:val="20"/><w:b w:val="0"/><w:bCs w:val="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Internal Control— Integrated Framework issued by the Committee of Sponsoring Organizations of the Treadway Commission in 2013. As a result of this assessment, management concluded that, as of September 30, 2023, our internal control over financial reporting was not effective based on those criteria. Although management has made progress in remediating this material weakness, management concluded that the material weakness described above continued to exist as of September 30, 2023.</w:t></w:r></w:p><w:p><w:pPr><w:jc w:val="start"/><w:ind w:left="0" w:right="0" w:firstLine="0" w:hanging="0"/><w:spacing w:before="120" w:after="0"/></w:pPr><w:r><w:rPr><w:rFonts w:ascii="Times New Roman" w:hAnsi="Times New Roman" w:eastAsia="Times New Roman" w:cs="Times New Roman"/><w:color w:val="000000"/><w:sz w:val="20"/><w:szCs w:val="20"/><w:b w:val="1"/><w:bCs w:val="1"/></w:rPr><w:t xml:space="preserve">Plans for Remediation of Material Weakness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 is committed to finalizing the remediation of the material weakness. Management’s internal control remediation efforts include the following:</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In 2022, we finalized the plan to implement a new company-wide enterprise resource planning, or ERP, system to provide additional systematic controls and segregation of duties for our accounting processes. Due, in part, to turnover in key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31</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pPr><w:r><w:rPr><w:rFonts w:ascii="Times New Roman" w:hAnsi="Times New Roman" w:eastAsia="Times New Roman" w:cs="Times New Roman"/><w:color w:val="000000"/><w:sz w:val="20"/><w:szCs w:val="20"/><w:b w:val="0"/><w:bCs w:val="0"/></w:rPr><w:t xml:space="preserve">positions and changes in design, our ERP system go-live date has been delayed. We anticipate the ERP system going live in 2024.</w:t></w:r></w:p><w:p><w:pPr><w:jc w:val="start"/></w:pPr><w:r><w:rPr><w:rFonts w:ascii="Times New Roman" w:hAnsi="Times New Roman" w:eastAsia="Times New Roman" w:cs="Times New Roman"/><w:color w:val="000000"/><w:sz w:val="20"/><w:szCs w:val="20"/><w:b w:val="0"/><w:bCs w:val="0"/></w:rPr><w:t xml:space="preserve"> </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In 2022, we determined that our forward-facing customer sales systems were not catering to our customer needs. We started to implement a new sales force software system in 2023, and anticipate going live in 2024.</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We have continued to train and cross train our employees on their internal control responsibilities and how to best support other control owners if personnel turnover issues within their departments occur. We have also supplemented our internal resources with third-party resources, where necessary.</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An outside firm will continue to assist management with performing control operating effectiveness testing throughout the year. </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We regularly reported the results of control testing to the key stakeholders across our organization, including our audit committee, on testing progress and defined corrective actions, and we monitored and reported on the results of control remediation. We have strengthened our internal policies, processes, and reviews through these actions.</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We implemented a new control to ensure that significant transactions are identified and effectively communicated so that they are properly and timely reported.</w:t></w:r></w:p><w:p><w:pPr><w:jc w:val="start"/></w:pPr><w:r><w:rPr><w:rFonts w:ascii="Times New Roman" w:hAnsi="Times New Roman" w:eastAsia="Times New Roman" w:cs="Times New Roman"/><w:color w:val="000000"/><w:sz w:val="20"/><w:szCs w:val="20"/><w:b w:val="0"/><w:bCs w:val="0"/></w:rPr><w:t xml:space="preserve">•</w:t></w:r></w:p><w:p><w:pPr><w:jc w:val="start"/></w:pPr><w:r><w:rPr><w:rFonts w:ascii="Times New Roman" w:hAnsi="Times New Roman" w:eastAsia="Times New Roman" w:cs="Times New Roman"/><w:color w:val="000000"/><w:sz w:val="20"/><w:szCs w:val="20"/><w:b w:val="0"/><w:bCs w:val="0"/></w:rPr><w:t xml:space="preserve">We have continued working on documenting and remediating weaknesses and structuring the Company’s processes to meet SOX 404 requirements. </w:t></w:r></w:p><w:p><w:pPr><w:jc w:val="start"/><w:ind w:left="0" w:right="0" w:firstLine="0" w:hanging="0"/><w:spacing w:before="120" w:after="0"/></w:pPr><w:r><w:rPr><w:rFonts w:ascii="Times New Roman" w:hAnsi="Times New Roman" w:eastAsia="Times New Roman" w:cs="Times New Roman"/><w:color w:val="000000"/><w:sz w:val="20"/><w:szCs w:val="20"/><w:b w:val="0"/><w:bCs w:val="0"/></w:rPr><w:t xml:space="preserve">As management continues to evaluate and work to improve our internal control over financial reporting, management may determine it is necessary to take additional measures to address the material weaknesses. However, we believe the above actions will be effective in remediating the material weaknesses and we will continue to devote significant time and attention to these remediation efforts. Until the controls have been operating for a sufficient period of time and management has concluded, through testing, that these controls are executed consistently and operating effectively, the material weaknesses described above will continue to exist.</w:t></w:r></w:p><w:p><w:pPr><w:jc w:val="start"/><w:ind w:left="0" w:right="0" w:firstLine="0" w:hanging="0"/><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There have been no changes in our internal control over financial reporting that occurred during the quarter ended September 30, 2023 that have materially affected, or are reasonably likely to materially affect, our internal control over financial reporting other than those described above related to remediation efforts. However, as the implementation of the new ERP system continues and our remediation efforts continue,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start"/><w:ind w:left="0" w:right="0" w:firstLine="0" w:hanging="0"/><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December 10, 2021, a class action complaint captioned Somogyi v. Organogenesis Holdings Inc., et al. was filed on behalf of a putative class of all purchasers of our securities against us and our Chief Executive Officer and Chief Financial Officer in the United States District Court for the Eastern District of New York. The court appointed Donald Martin as lead plaintiff. Mr. Martin filed an amended complaint on October 24, 2022 that brings claims on behalf of a purported class of all purchasers of our securities from August 10, 2020 through August 9, 2022 and alleges violations of federal securities law in connection with alleged false and misleading statements with respect to, among other matters, revenue, sales growth and ability to compete in connection with our Affinity and PuraPly XT products. The amended complaint alleges violations of the Securities Exchange Act of 1934 and Rule 10b-5 promulgated thereunder, and seeks unquantified damages as well as attorneys’ fees, expert fees and other costs. The action is in the early stages of litigation. We believe the claims are without merit and intend to vigorously contest them. On March 13, 2023, we filed our motion to dismiss the litigation for failure to state a claim upon which relief can be granted. Briefing was completed on May 30, 2023 and the motion to dismiss is currently pending with the Court.</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We are not a party to any other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32</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Investing in our Class A common stock involves a high degree of risk. Our Annual Report on Form 10-K for the year ended December 31, 2022, includes a detailed discussion of our risk factors under the heading “Part I, Item 1A—Risk Factors.” Except as set forth below, there have been no material changes from such risk factors during the quarter ended September 30, 2023. You should consider carefully the risk factors discussed in our Annual Report on Form 10-K for the year ended December 31, 2022, and all other information contained in or incorporated by reference in this Quarterly Report on Form 10-Q before making an investment decision. If any of the risks discussed in the Annual Report on Form 10-K for the year ended December 31, 2022,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12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b w:val="1"/><w:bCs w:val="1"/><w:i w:val="1"/><w:iCs w:val="1"/></w:rPr><w:t xml:space="preserve">Three MACs recently withdrew LCDs for skin substitutes and/or CTPs for the treatment of DFUs and VLUs in the Medicare population that would have eliminated coverage for certain of our products as of October 1, 2023. Had these LCDs taken effect or if new LCDs are adopted in the future that eliminate or reduce coverage for our products are adopted and take effect, it could have a material adverse effect on utilization of our products, our business and our revenue.</w:t></w:r></w:p><w:p><w:pPr><w:jc w:val="start"/><w:ind w:left="0" w:right="0" w:firstLine="0" w:hanging="0"/><w:spacing w:before="120" w:after="0"/></w:pPr><w:r><w:rPr><w:rFonts w:ascii="Times New Roman" w:hAnsi="Times New Roman" w:eastAsia="Times New Roman" w:cs="Times New Roman"/><w:color w:val="000000"/><w:sz w:val="20"/><w:szCs w:val="20"/><w:b w:val="0"/><w:bCs w:val="0"/></w:rPr><w:t xml:space="preserve">On August 3, 2023, three MACs (Novitas, First Coast Services, and CGS) published final LCDs for skin substitutes and CTPs for the treatment of DFUs and VLUs in the Medicare population that would have eliminated coverage for our PuraPly, Novachor, TransCyte, Affinity and NuShield products as of October 1, 2023. These LCDs were withdrawn by the MACs on September 28, 2023 and our products remain covered.  Had coverage for these products been eliminated, it would have presented a significant amount of uncertainty regarding (i) future revenue for the affected products in the applicable regions and (ii) the potential impact on demand for our products when used for treatment of non-DFU/VLU wounds. While in this case the LCDs were ultimately withdrawn before they took effect, there is no guarantee that the MACs will not adopt new LCDs in the future that could eliminate or reduce coverage for our products. If one or more of products loses coverage, it could materially and adversely impact utilization of our products, our business, and our revenue.</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Uncertainty and adverse changes in the general economic conditions, including recent turmoil in the global banking system, may negatively affect our business, financial condition, stock price and results of operations.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Our results of operations could be adversely affected by general conditions in the global economy and in the global financial markets. For example, the global financial crisis of 2007-2008 caused extreme volatility and disruptions in the capital and credit markets. If general economic conditions in the United States decline, or if consumers fear that economic conditions will decline, sales of our products may decline. Adverse changes may occur as a result of adverse economic conditions, fluctuating oil prices, supply chain problems, inflation, political instability, declining consumer confidence, a continuation or worsening of the COVID-19 pandemic or another pandemic, unemployment, fluctuations in stock markets, contraction of credit availability, or other factors affecting economic conditions generally. These changes may negatively affect the sales of our existing or development of future products, increase the cost, and decrease the availability of financing, or increase costs associated with producing and distributing our products and potential product candidates.</w:t></w:r><w:r><w:rPr><w:rFonts w:ascii="Times New Roman" w:hAnsi="Times New Roman" w:eastAsia="Times New Roman" w:cs="Times New Roman"/><w:color w:val="000000"/><w:sz w:val="20"/><w:szCs w:val="20"/><w:b w:val="0"/><w:bCs w:val="0"/></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Moreover, there has been recent turmoil in the global banking system. On March 10, 2023, Silicon Valley Bank (“SVB”), one of our lenders at which we maintained deposit and money market accounts, was closed, followed on March 11, 2023 and May 1, 2023, by Signature Bank and First Republic Bank, respectively, and the FDIC was appointed as receiver for those banks. There have been reports of instability at other banks across the globe including Credit Suisse, which was acquired by UBS. Despite the steps taken to date by U.S. agencies to protect depositors and our current belief that we do not have exposure to loss as a result of SVB’s receivership, the follow-on effects of the events surrounding the SVB, Signature Bank and First Republic Bank failures and pressure on other banks are unknown and could include failures of other financial institutions or significant disruptions to our operations, financial position, and reputation. A severe or prolonged economic downturn, such as the global financial crisis of 2007-2008, could result in a variety of risks to our business, including a decrease in the demand for our products and in our ability to raise additional capital when needed on acceptable terms, if at all. A weak or declining economy also could strain our suppliers, possibly resulting in supply disruption, or cause our customers to delay making payments for our products. We cannot anticipate all the ways in which the foregoing, and the current economic climate and financial market conditions generally, could adversely impact our business. Furthermore, our stock price may decline due in part to the volatility of the stock market and any general economic downturn.</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33</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None.</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None.</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b w:val="0"/><w:bCs w:val="0"/></w:rPr><w:t xml:space="preserve">Not Applicable.</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b w:val="0"/><w:bCs w:val="0"/></w:rPr><w:t xml:space="preserve">During the three months ended September 30, 2023, </w:t></w:r><w:r><w:rPr><w:rFonts w:ascii="Times New Roman" w:hAnsi="Times New Roman" w:eastAsia="Times New Roman" w:cs="Times New Roman"/><w:color w:val="000000"/><w:sz w:val="20"/><w:szCs w:val="20"/><w:b w:val="0"/><w:bCs w:val="0"/></w:rPr><w:t xml:space="preserve">no</w:t></w:r><w:r><w:rPr><w:rFonts w:ascii="Times New Roman" w:hAnsi="Times New Roman" w:eastAsia="Times New Roman" w:cs="Times New Roman"/><w:color w:val="000000"/><w:sz w:val="20"/><w:szCs w:val="20"/><w:b w:val="0"/><w:bCs w:val="0"/></w:rPr><w:t xml:space="preserve"> director or officer of the Company adopted or terminated a “Rule 10b5-1 trading arrangement” or “non-rule 10b5-1 trading arrangement,” as each term is defined in item 408(a) of Regulation S-K.</w:t></w:r><w:r><w:rPr><w:rFonts w:ascii="Times New Roman" w:hAnsi="Times New Roman" w:eastAsia="Times New Roman" w:cs="Times New Roman"/><w:color w:val="000000"/><w:sz w:val="20"/><w:szCs w:val="20"/><w:b w:val="0"/><w:bCs w:val="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34</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ind w:left="0" w:right="0" w:firstLine="0" w:hanging="0"/><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Exhibit</w:t></w:r></w:p><w:p><w:pPr><w:jc w:val="center"/><w:ind w:left="0" w:right="0" w:firstLine="0" w:hanging="0"/><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b w:val="0"/><w:bCs w:val="0"/></w:rPr><w:t xml:space="preserve"> </w:t></w:r></w:p></w:tc><w:tc><w:tcPr><w:tcW w:w="0" w:type="pct"/><w:vAlign w:val="top"/><w:noWrap/></w:tcPr><w:p><w:pPr><w:jc w:val="center"/><w:ind w:left="0" w:right="0" w:firstLine="0" w:hanging="0"/><w:spacing w:before="0" w:after="0"/></w:pPr><w:r><w:rPr><w:rFonts w:ascii="Times New Roman" w:hAnsi="Times New Roman" w:eastAsia="Times New Roman" w:cs="Times New Roman"/><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b w:val="0"/><w:bCs w:val="0"/></w:rPr><w:t xml:space="preserve"> </w:t></w:r></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Inline XBRL Instance Document XBRL</w:t></w:r></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Inline XBRL Taxonomy Extension Schema Document</w:t></w:r></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Inline XBRL Taxonomy Extension Calculation Linkbase Document</w:t></w:r></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Inline XBRL Taxonomy Extension Definition Linkbase Document</w:t></w:r></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Inline XBRL Taxonomy Extension Label Linkbase Document</w:t></w:r></w:p></w:tc></w:tr><w:tr><w:trPr/><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Inline XBRL Taxonomy Extension Presentation Linkbase Document</w:t></w:r></w:p></w:tc></w:tr><w:tr><w:trPr/><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Cover Page Interactive Data File (formatted as Inline XBRL and contained in Exhibit 101)</w:t></w:r></w:p></w:tc></w:tr></w:tbl><w:p><w:pPr><w:jc w:val="start"/><w:ind w:left="0" w:right="0" w:firstLine="0" w:hanging="0"/><w:spacing w:before="0" w:after="0"/></w:pP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20"/><w:szCs w:val="20"/><w:b w:val="0"/><w:bCs w:val="0"/><w:i w:val="1"/><w:iCs w:val="1"/></w:rPr><w:t xml:space="preserve"> Filed herewith</w:t></w:r></w:p><w:p><w:pPr><w:jc w:val="start"/><w:ind w:left="0" w:right="0" w:firstLine="0" w:hanging="0"/><w:spacing w:before="40" w:after="0"/></w:pPr><w:r><w:rPr><w:rFonts w:ascii="Times New Roman" w:hAnsi="Times New Roman" w:eastAsia="Times New Roman" w:cs="Times New Roman"/><w:sz w:val="20"/><w:szCs w:val="20"/></w:rPr><w:t xml:space="preserve"> </w:t></w:r></w:p><w:p><w:pPr><w:jc w:val="start"/><w:ind w:left="0" w:right="0" w:firstLine="0" w:hanging="0"/><w:spacing w:before="40" w:after="0"/></w:pPr><w:r><w:rPr><w:rFonts w:ascii="Times New Roman" w:hAnsi="Times New Roman" w:eastAsia="Times New Roman" w:cs="Times New Roman"/><w:color w:val="000000"/><w:sz w:val="20"/><w:szCs w:val="20"/><w:b w:val="0"/><w:bCs w:val="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35</w:t></w:r></w:p><w:p><w:pPr><w:spacing w:before="120" w:after="120" w:line="240" w:lineRule="auto"/><w:pBdr><w:bottom w:val="single" w:sz="1" w:color="000000"/></w:pBdr></w:pPr><w:r><w:rPr><w:sz w:val="6"/><w:szCs w:val="6"/></w:rPr><w:t xml:space="preserve"></w:t></w:r></w:p><w:p><w:pPr><w:pStyle w:val="Heading5"/><w:jc w:val="start"/></w:pPr><w:hyperlink w:anchor="toc_page" w:history="1"><w:r><w:rPr/><w:t xml:space="preserve">Table of Contents</w:t></w:r></w:hyperlink></w:p><w:p><w:pPr><w:jc w:val="start"/><w:ind w:left="0" w:right="0" w:firstLine="0" w:hanging="0"/><w:spacing w:before="0" w:after="0"/></w:pPr><w:r><w:rPr><w:rFonts w:ascii="Times New Roman" w:hAnsi="Times New Roman" w:eastAsia="Times New Roman" w:cs="Times New Roman"/><w:sz w:val="24"/><w:szCs w:val="24"/></w:rPr><w:t xml:space="preserve"> </w:t></w:r></w:p><w:p><w:pPr><w:jc w:val="center"/><w:ind w:left="0" w:right="0" w:firstLine="0" w:hanging="0"/><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b w:val="0"/><w:bCs w:val="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b w:val="0"/><w:bCs w:val="0"/></w:rPr><w:t xml:space="preserve"> </w:t></w:r></w:p><w:p><w:pPr><w:jc w:val="start"/><w:ind w:left="0" w:right="0" w:firstLine="0" w:hanging="0"/><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Dated: November 9, 2023</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0"/><w:bCs w:val="0"/></w:rPr><w:t xml:space="preserve">(Registrant)</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0"/><w:bCs w:val="0"/></w:rPr><w:t xml:space="preserve">/s/ David Francisco</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center"/><w:ind w:left="0" w:right="0" w:firstLine="0" w:hanging="0"/><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r><w:trPr/><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center"/><w:ind w:left="0" w:right="0" w:firstLine="0" w:hanging="0"/><w:spacing w:before="240" w:after="0"/></w:pPr><w:r><w:rPr><w:rFonts w:ascii="Times New Roman" w:hAnsi="Times New Roman" w:eastAsia="Times New Roman" w:cs="Times New Roman"/><w:color w:val="000000"/><w:sz w:val="20"/><w:szCs w:val="20"/><w:b w:val="0"/><w:bCs w:val="0"/></w:rPr><w:t xml:space="preserve">36</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orgo-ex31_1.htm" TargetMode="External"/><Relationship Id="rId31" Type="http://schemas.openxmlformats.org/officeDocument/2006/relationships/hyperlink" Target="orgo-ex31_2.htm" TargetMode="External"/><Relationship Id="rId32"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2026-08-07T06:17:26-04:00</dcterms:created>
  <dcterms:modified xsi:type="dcterms:W3CDTF">2026-08-07T06:17:26-04:00</dcterms:modified>
</cp:coreProperties>
</file>

<file path=docProps/custom.xml><?xml version="1.0" encoding="utf-8"?>
<Properties xmlns="http://schemas.openxmlformats.org/officeDocument/2006/custom-properties" xmlns:vt="http://schemas.openxmlformats.org/officeDocument/2006/docPropsVTypes"/>
</file>