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end"/><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8"/><w:szCs w:val="8"/></w:rPr><w:t xml:space="preserve"> </w:t></w:r></w:p><w:p><w:pPr><w:jc w:val="center"/><w:spacing w:before="0" w:after="0"/></w:pPr><w:r><w:rPr><w:rFonts w:ascii="Times New Roman" w:hAnsi="Times New Roman" w:eastAsia="Times New Roman" w:cs="Times New Roman"/><w:sz w:val="8"/><w:szCs w:val="8"/></w:rPr><w:t xml:space="preserve"> </w:t></w:r></w:p><w:p><w:pPr><w:jc w:val="center"/><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spacing w:before="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March 31, </w:t></w:r><w:r><w:rPr><w:rFonts w:ascii="Times New Roman" w:hAnsi="Times New Roman" w:eastAsia="Times New Roman" w:cs="Times New Roman"/><w:color w:val="000000"/><w:sz w:val="20"/><w:szCs w:val="20"/><w:b w:val="1"/><w:bCs w:val="1"/></w:rPr><w:t xml:space="preserve">2024</w:t></w:r></w:p><w:p><w:pPr><w:jc w:val="center"/><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spacing w:before="8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start"/><w:spacing w:before="0" w:after="0"/></w:pPr><w:r><w:rPr><w:rFonts w:ascii="Times New Roman" w:hAnsi="Times New Roman" w:eastAsia="Times New Roman" w:cs="Times New Roman"/><w:color w:val="000000"/><w:sz w:val="8"/><w:szCs w:val="8"/></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(State or Other Jurisdiction of</w:t></w:r></w:p><w:p><w:pPr><w:jc w:val="center"/><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(I.R.S. Employer</w:t></w:r></w:p><w:p><w:pPr><w:jc w:val="center"/><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spacing w:before="0" w:after="0"/></w:pPr><w:r><w:rPr><w:rFonts w:ascii="Times New Roman" w:hAnsi="Times New Roman" w:eastAsia="Times New Roman" w:cs="Times New Roman"/><w:sz w:val="16"/><w:szCs w:val="16"/></w:rPr><w:t xml:space="preserve"> </w:t></w:r></w:p><w:p><w:pPr><w:jc w:val="center"/><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color w:val="000000"/><w:sz w:val="16"/><w:szCs w:val="16"/><w:b w:val="1"/><w:bCs w:val="1"/></w:rPr><w:t xml:space="preserve">Not Applicable</w:t></w:r></w:p><w:p><w:pPr><w:jc w:val="center"/><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12"/><w:szCs w:val="12"/></w:rPr><w:t xml:space="preserve"> </w:t></w:r></w:p><w:p><w:pPr><w:jc w:val="center"/><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color w:val="000000"/><w:sz w:val="12"/><w:szCs w:val="12"/></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12"/><w:szCs w:val="12"/></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Large 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Non-accelerated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Smaller reporting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Emerging growth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bl><w:p><w:pPr><w:jc w:val="start"/><w:ind w:left="0" w:right="0" w:firstLine="0" w:hanging="0"/><w:spacing w:before="4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8"/><w:szCs w:val="8"/></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The number of shares of the registrant’s Class A common stock outstanding as of April 30, 2024</w:t></w:r><w:r><w:rPr><w:rFonts w:ascii="Times New Roman" w:hAnsi="Times New Roman" w:eastAsia="Times New Roman" w:cs="Times New Roman"/><w:color w:val="000000"/><w:sz w:val="16"/><w:szCs w:val="16"/></w:rPr><w:t xml:space="preserve"> was </w:t></w:r><w:r><w:rPr><w:rFonts w:ascii="Times New Roman" w:hAnsi="Times New Roman" w:eastAsia="Times New Roman" w:cs="Times New Roman"/><w:color w:val="000000"/><w:sz w:val="16"/><w:szCs w:val="16"/></w:rPr><w:t xml:space="preserve">132,572,465</w:t></w:r><w:r><w:rPr><w:rFonts w:ascii="Times New Roman" w:hAnsi="Times New Roman" w:eastAsia="Times New Roman" w:cs="Times New Roman"/><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sz w:val="8"/><w:szCs w:val="8"/></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For the Quarterly Period Ended March 31, 2024</w:t></w:r></w:p><w:p><w:pPr><w:jc w:val="center"/><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24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4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 and Comprehensive Loss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5</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Stockholders’ Equity</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6</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7</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19</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26</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27</w:t></w:r></w:p></w:tc></w:tr><w:tr><w:trPr/><w:tc><w:tcPr><w:tcW w:w="0" w:type="pct"/><w:vAlign w:val="top"/><w:gridSpan w:val="2"/><w:noWrap/></w:tcPr><w:p><w:pPr><w:jc w:val="start"/><w:ind w:left="0" w:right="0" w:firstLine="24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24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c><w:tcPr><w:tcW w:w="0" w:type="pct"/><w:vAlign w:val="top"/><w:gridSpan w:val="2"/><w:noWrap/></w:tcPr><w:p><w:pPr><w:jc w:val="start"/><w:ind w:left="0" w:right="0" w:firstLine="24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240" w:hanging="0"/><w:spacing w:before="0" w:after="0"/></w:pPr><w:hyperlink w:anchor="signatures" w:history="1"><w:r><w:rPr/><w:t xml:space="preserve">SIGNATURES</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clinical development and commercialization of our product candidates,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2023.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used herein, except as otherwise indicated by context, references to “we,” “us,” “our,” “the Company,” “Organogenesis” and “ORGO” will refer to Organogenesis Holdings Inc. and its subsidiaries.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w:szCs w:val="2"/></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48350" w:type="dxa"/><w:gridCol w:w="2400" w:type="dxa"/><w:gridCol w:w="50" w:type="dxa"/><w:gridCol w:w="1850" w:type="dxa"/><w:gridCol w:w="50" w:type="dxa"/><w:gridCol w:w="2400" w:type="dxa"/><w:gridCol w:w="50" w:type="dxa"/><w:gridCol w:w="1850" w:type="dxa"/><w:gridCol w:w="50" w:type="dxa"/></w:tblGrid><w:tblPr><w:tblW w:w="0" w:type="pct"/><w:tblLayout w:type="autofit"/></w:tblPr><w:tr><w:trPr/><w:tc><w:tcPr><w:tcW w:w="48350" w:type="pct"/><w:noWrap/></w:tcPr><w:p><w:pPr/></w:p></w:tc><w:tc><w:tcPr><w:tcW w:w="2400" w:type="pct"/><w:noWrap/></w:tcPr><w:p><w:pPr/></w:p></w:tc><w:tc><w:tcPr><w:tcW w:w="50" w:type="pct"/><w:noWrap/></w:tcPr><w:p><w:pPr/></w:p></w:tc><w:tc><w:tcPr><w:tcW w:w="1850" w:type="pct"/><w:noWrap/></w:tcPr><w:p><w:pPr/></w:p></w:tc><w:tc><w:tcPr><w:tcW w:w="50" w:type="pct"/><w:noWrap/></w:tcPr><w:p><w:pPr/></w:p></w:tc><w:tc><w:tcPr><w:tcW w:w="2400" w:type="pct"/><w:noWrap/></w:tcPr><w:p><w:pPr/></w:p></w:tc><w:tc><w:tcPr><w:tcW w:w="50" w:type="pct"/><w:noWrap/></w:tcPr><w:p><w:pPr/></w:p></w:tc><w:tc><w:tcPr><w:tcW w:w="1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Cash and cash equivalents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88,626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103,840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Restricted cash</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720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 net</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96,148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81,999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 net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27,694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28,253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Prepaid expenses and other current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13,979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10,454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227,167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225,044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Property and equipment,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114,245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116,228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Intangible assets,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14,970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15,871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Goodwill</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28,772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28,772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right-of-use assets,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38,616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40,118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Deferred tax asset,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28,002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28,002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6,709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5,990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458,481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460,025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Liabilities and 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Current liabilities: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term loan</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5,489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5,486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finance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1,103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1,081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operating lease obligations - related party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8,543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8,413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operating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4,675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4,731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23,230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30,724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39,759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30,074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82,799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80,509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Term loan,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59,371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60,745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Finance lease obligations, net of current portion</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1,604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obligations, net of current portion - related party</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11,052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11,954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obligations, net of current portion</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24,383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25,053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liabilities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180,451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181,362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Commitments and contingencies</w:t></w:r><w:r><w:rPr><w:rFonts w:ascii="Times New Roman" w:hAnsi="Times New Roman" w:eastAsia="Times New Roman" w:cs="Times New Roman"/><w:color w:val="000000"/><w:sz w:val="16"/><w:szCs w:val="16"/><w:shd w:val="clear" w:fill="cff0fc"/></w:rPr><w:t xml:space="preserve"> (Note 14)</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Preferred stock, $</w:t></w:r><w:r><w:rPr><w:rFonts w:ascii="Times New Roman" w:hAnsi="Times New Roman" w:eastAsia="Times New Roman" w:cs="Times New Roman"/><w:color w:val="000000"/><w:sz w:val="16"/><w:szCs w:val="16"/><w:shd w:val="clear" w:fill="cff0fc"/></w:rPr><w:t xml:space="preserve">0.0001</w:t></w:r><w:r><w:rPr><w:rFonts w:ascii="Times New Roman" w:hAnsi="Times New Roman" w:eastAsia="Times New Roman" w:cs="Times New Roman"/><w:color w:val="000000"/><w:sz w:val="16"/><w:szCs w:val="16"/><w:shd w:val="clear" w:fill="cff0fc"/></w:rPr><w:t xml:space="preserve"> par value; </w:t></w:r><w:r><w:rPr><w:rFonts w:ascii="Times New Roman" w:hAnsi="Times New Roman" w:eastAsia="Times New Roman" w:cs="Times New Roman"/><w:color w:val="000000"/><w:sz w:val="16"/><w:szCs w:val="16"/><w:shd w:val="clear" w:fill="cff0fc"/></w:rPr><w:t xml:space="preserve">1,000,000</w:t></w:r><w:r><w:rPr><w:rFonts w:ascii="Times New Roman" w:hAnsi="Times New Roman" w:eastAsia="Times New Roman" w:cs="Times New Roman"/><w:color w:val="000000"/><w:sz w:val="16"/><w:szCs w:val="16"/><w:shd w:val="clear" w:fill="cff0fc"/></w:rPr><w:t xml:space="preserve"> shares authorized; </w:t></w:r><w:r><w:rPr><w:rFonts w:ascii="Times New Roman" w:hAnsi="Times New Roman" w:eastAsia="Times New Roman" w:cs="Times New Roman"/><w:color w:val="000000"/><w:sz w:val="16"/><w:szCs w:val="16"/><w:shd w:val="clear" w:fill="cff0fc"/></w:rPr><w:t xml:space="preserve">none</w:t></w:r><w:r><w:rPr><w:rFonts w:ascii="Times New Roman" w:hAnsi="Times New Roman" w:eastAsia="Times New Roman" w:cs="Times New Roman"/><w:color w:val="000000"/><w:sz w:val="16"/><w:szCs w:val="16"/><w:shd w:val="clear" w:fill="cff0fc"/></w:rPr><w:t xml:space="preserve"> issued</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Common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400,000,000</w:t></w:r><w:r><w:rPr><w:rFonts w:ascii="Times New Roman" w:hAnsi="Times New Roman" w:eastAsia="Times New Roman" w:cs="Times New Roman"/><w:color w:val="000000"/><w:sz w:val="16"/><w:szCs w:val="16"/><w:shd w:val="clear" w:fill="ffffff"/></w:rPr><w:t xml:space="preserve"> shares authorized; </w:t></w:r><w:r><w:rPr><w:rFonts w:ascii="Times New Roman" w:hAnsi="Times New Roman" w:eastAsia="Times New Roman" w:cs="Times New Roman"/><w:color w:val="000000"/><w:sz w:val="16"/><w:szCs w:val="16"/><w:shd w:val="clear" w:fill="ffffff"/></w:rPr><w:t xml:space="preserve">133,267,888</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132,044,944</w:t></w:r><w:r><w:rPr><w:rFonts w:ascii="Times New Roman" w:hAnsi="Times New Roman" w:eastAsia="Times New Roman" w:cs="Times New Roman"/><w:color w:val="000000"/><w:sz w:val="16"/><w:szCs w:val="16"/><w:shd w:val="clear" w:fill="ffffff"/></w:rPr><w:t xml:space="preserve"> shares issued; </w:t></w:r><w:r><w:rPr><w:rFonts w:ascii="Times New Roman" w:hAnsi="Times New Roman" w:eastAsia="Times New Roman" w:cs="Times New Roman"/><w:color w:val="000000"/><w:sz w:val="16"/><w:szCs w:val="16"/><w:shd w:val="clear" w:fill="ffffff"/></w:rPr><w:t xml:space="preserve">132,539,340</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131,316,396</w:t></w:r><w:r><w:rPr><w:rFonts w:ascii="Times New Roman" w:hAnsi="Times New Roman" w:eastAsia="Times New Roman" w:cs="Times New Roman"/><w:color w:val="000000"/><w:sz w:val="16"/><w:szCs w:val="16"/><w:shd w:val="clear" w:fill="ffffff"/></w:rPr><w:t xml:space="preserve"> shares outstanding at March 31, 2024 and December 31, 2023, respectively.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Additional paid-in capital</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321,088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Accumulated deficit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43,071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40,971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stockholders’ equity</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278,030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 and stockholders’ equity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458,481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460,025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 AND COMPREHENSIVE LOSS</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7650" w:type="dxa"/><w:gridCol w:w="2200" w:type="dxa"/><w:gridCol w:w="50" w:type="dxa"/><w:gridCol w:w="34150" w:type="dxa"/><w:gridCol w:w="50" w:type="dxa"/><w:gridCol w:w="2200" w:type="dxa"/><w:gridCol w:w="50" w:type="dxa"/><w:gridCol w:w="34150" w:type="dxa"/><w:gridCol w:w="50" w:type="dxa"/></w:tblGrid><w:tblPr><w:tblW w:w="0" w:type="pct"/><w:tblLayout w:type="autofit"/></w:tblPr><w:tr><w:trPr/><w:tc><w:tcPr><w:tcW w:w="37650" w:type="pct"/><w:noWrap/></w:tcPr><w:p><w:pPr/></w:p></w:tc><w:tc><w:tcPr><w:tcW w:w="2200" w:type="pct"/><w:noWrap/></w:tcPr><w:p><w:pPr/></w:p></w:tc><w:tc><w:tcPr><w:tcW w:w="50" w:type="pct"/><w:noWrap/></w:tcPr><w:p><w:pPr/></w:p></w:tc><w:tc><w:tcPr><w:tcW w:w="34150" w:type="pct"/><w:noWrap/></w:tcPr><w:p><w:pPr/></w:p></w:tc><w:tc><w:tcPr><w:tcW w:w="50" w:type="pct"/><w:noWrap/></w:tcPr><w:p><w:pPr/></w:p></w:tc><w:tc><w:tcPr><w:tcW w:w="2200" w:type="pct"/><w:noWrap/></w:tcPr><w:p><w:pPr/></w:p></w:tc><w:tc><w:tcPr><w:tcW w:w="50" w:type="pct"/><w:noWrap/></w:tcPr><w:p><w:pPr/></w:p></w:tc><w:tc><w:tcPr><w:tcW w:w="34150" w:type="pct"/><w:noWrap/></w:tcPr><w:p><w:pPr/></w:p></w:tc><w:tc><w:tcPr><w:tcW w:w="50" w:type="pct"/><w:noWrap/></w:tcPr><w:p><w:pP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revenue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109,976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107,642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28,696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26,607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Gross profit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81,280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81,035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72,322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73,834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12,810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11,202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operating expenses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85,132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85,036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Loss from operations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3,852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4,001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Interest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514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649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Other income,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other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491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626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 before income taxes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4,343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4,627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Income tax benefit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2,243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1,658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 and comprehensive loss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2,969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 per share: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Basic and diluted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0.02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0.02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Weighted-average common shares outstanding</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Basic and diluted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131,861,772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131,083,841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STOCKHOLDERS’ EQUITY</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data)</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600" w:type="dxa"/><w:gridCol w:w="50" w:type="dxa"/><w:gridCol w:w="50" w:type="dxa"/><w:gridCol w:w="2300" w:type="dxa"/><w:gridCol w:w="50" w:type="dxa"/><w:gridCol w:w="700" w:type="dxa"/><w:gridCol w:w="50" w:type="dxa"/><w:gridCol w:w="800" w:type="dxa"/><w:gridCol w:w="50" w:type="dxa"/><w:gridCol w:w="700" w:type="dxa"/><w:gridCol w:w="50" w:type="dxa"/><w:gridCol w:w="800" w:type="dxa"/><w:gridCol w:w="50" w:type="dxa"/><w:gridCol w:w="700" w:type="dxa"/><w:gridCol w:w="50" w:type="dxa"/><w:gridCol w:w="600" w:type="dxa"/><w:gridCol w:w="50" w:type="dxa"/><w:gridCol w:w="700" w:type="dxa"/><w:gridCol w:w="50" w:type="dxa"/><w:gridCol w:w="4100" w:type="dxa"/><w:gridCol w:w="50" w:type="dxa"/></w:tblGrid><w:tblPr><w:tblW w:w="0" w:type="pct"/><w:tblLayout w:type="autofit"/></w:tblPr><w:tr><w:trPr/><w:tc><w:tcPr><w:tcW w:w="3600" w:type="pct"/><w:noWrap/></w:tcPr><w:p><w:pPr/></w:p></w:tc><w:tc><w:tcPr><w:tcW w:w="50" w:type="pct"/><w:noWrap/></w:tcPr><w:p><w:pPr/></w:p></w:tc><w:tc><w:tcPr><w:tcW w:w="50" w:type="pct"/><w:noWrap/></w:tcPr><w:p><w:pPr/></w:p></w:tc><w:tc><w:tcPr><w:tcW w:w="2300" w:type="pct"/><w:noWrap/></w:tcPr><w:p><w:pPr/></w:p></w:tc><w:tc><w:tcPr><w:tcW w:w="50" w:type="pct"/><w:noWrap/></w:tcPr><w:p><w:pPr/></w:p></w:tc><w:tc><w:tcPr><w:tcW w:w="700" w:type="pct"/><w:noWrap/></w:tcPr><w:p><w:pPr/></w:p></w:tc><w:tc><w:tcPr><w:tcW w:w="50" w:type="pct"/><w:noWrap/></w:tcPr><w:p><w:pPr/></w:p></w:tc><w:tc><w:tcPr><w:tcW w:w="800" w:type="pct"/><w:noWrap/></w:tcPr><w:p><w:pPr/></w:p></w:tc><w:tc><w:tcPr><w:tcW w:w="50" w:type="pct"/><w:noWrap/></w:tcPr><w:p><w:pPr/></w:p></w:tc><w:tc><w:tcPr><w:tcW w:w="700" w:type="pct"/><w:noWrap/></w:tcPr><w:p><w:pPr/></w:p></w:tc><w:tc><w:tcPr><w:tcW w:w="50" w:type="pct"/><w:noWrap/></w:tcPr><w:p><w:pPr/></w:p></w:tc><w:tc><w:tcPr><w:tcW w:w="800" w:type="pct"/><w:noWrap/></w:tcPr><w:p><w:pPr/></w:p></w:tc><w:tc><w:tcPr><w:tcW w:w="50" w:type="pct"/><w:noWrap/></w:tcPr><w:p><w:pPr/></w:p></w:tc><w:tc><w:tcPr><w:tcW w:w="700" w:type="pct"/><w:noWrap/></w:tcPr><w:p><w:pPr/></w:p></w:tc><w:tc><w:tcPr><w:tcW w:w="50" w:type="pct"/><w:noWrap/></w:tcPr><w:p><w:pPr/></w:p></w:tc><w:tc><w:tcPr><w:tcW w:w="600" w:type="pct"/><w:noWrap/></w:tcPr><w:p><w:pPr/></w:p></w:tc><w:tc><w:tcPr><w:tcW w:w="50" w:type="pct"/><w:noWrap/></w:tcPr><w:p><w:pPr/></w:p></w:tc><w:tc><w:tcPr><w:tcW w:w="700" w:type="pct"/><w:noWrap/></w:tcPr><w:p><w:pPr/></w:p></w:tc><w:tc><w:tcPr><w:tcW w:w="50" w:type="pct"/><w:noWrap/></w:tcPr><w:p><w:pPr/></w:p></w:tc><w:tc><w:tcPr><w:tcW w:w="41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8"/><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 March 31, 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131,316,396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40,971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Exercise of stock options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152,250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1,070,694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132,539,340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321,088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43,071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278,030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sz w:val="20"/><w:szCs w:val="20"/></w:rPr><w:t xml:space="preserve"> </w:t></w:r></w:p><w:tbl><w:tblGrid><w:gridCol w:w="49600" w:type="dxa"/><w:gridCol w:w="50" w:type="dxa"/><w:gridCol w:w="50" w:type="dxa"/><w:gridCol w:w="21899999999999950" w:type="dxa"/><w:gridCol w:w="50" w:type="dxa"/><w:gridCol w:w="1400" w:type="dxa"/><w:gridCol w:w="50" w:type="dxa"/><w:gridCol w:w="47950" w:type="dxa"/><w:gridCol w:w="50" w:type="dxa"/><w:gridCol w:w="1400" w:type="dxa"/><w:gridCol w:w="50" w:type="dxa"/><w:gridCol w:w="20950" w:type="dxa"/><w:gridCol w:w="50" w:type="dxa"/><w:gridCol w:w="1400" w:type="dxa"/><w:gridCol w:w="50" w:type="dxa"/><w:gridCol w:w="23950" w:type="dxa"/><w:gridCol w:w="50" w:type="dxa"/><w:gridCol w:w="1400" w:type="dxa"/><w:gridCol w:w="50" w:type="dxa"/><w:gridCol w:w="29850" w:type="dxa"/><w:gridCol w:w="50" w:type="dxa"/></w:tblGrid><w:tblPr><w:tblW w:w="0" w:type="pct"/><w:tblLayout w:type="autofit"/></w:tblPr><w:tr><w:trPr/><w:tc><w:tcPr><w:tcW w:w="49600" w:type="pct"/><w:noWrap/></w:tcPr><w:p><w:pPr/></w:p></w:tc><w:tc><w:tcPr><w:tcW w:w="50" w:type="pct"/><w:noWrap/></w:tcPr><w:p><w:pPr/></w:p></w:tc><w:tc><w:tcPr><w:tcW w:w="50" w:type="pct"/><w:noWrap/></w:tcPr><w:p><w:pPr/></w:p></w:tc><w:tc><w:tcPr><w:tcW w:w="21899999999999950" w:type="pct"/><w:noWrap/></w:tcPr><w:p><w:pPr/></w:p></w:tc><w:tc><w:tcPr><w:tcW w:w="50" w:type="pct"/><w:noWrap/></w:tcPr><w:p><w:pPr/></w:p></w:tc><w:tc><w:tcPr><w:tcW w:w="1400" w:type="pct"/><w:noWrap/></w:tcPr><w:p><w:pPr/></w:p></w:tc><w:tc><w:tcPr><w:tcW w:w="50" w:type="pct"/><w:noWrap/></w:tcPr><w:p><w:pPr/></w:p></w:tc><w:tc><w:tcPr><w:tcW w:w="47950" w:type="pct"/><w:noWrap/></w:tcPr><w:p><w:pPr/></w:p></w:tc><w:tc><w:tcPr><w:tcW w:w="50" w:type="pct"/><w:noWrap/></w:tcPr><w:p><w:pPr/></w:p></w:tc><w:tc><w:tcPr><w:tcW w:w="1400" w:type="pct"/><w:noWrap/></w:tcPr><w:p><w:pPr/></w:p></w:tc><w:tc><w:tcPr><w:tcW w:w="50" w:type="pct"/><w:noWrap/></w:tcPr><w:p><w:pPr/></w:p></w:tc><w:tc><w:tcPr><w:tcW w:w="20950" w:type="pct"/><w:noWrap/></w:tcPr><w:p><w:pPr/></w:p></w:tc><w:tc><w:tcPr><w:tcW w:w="50" w:type="pct"/><w:noWrap/></w:tcPr><w:p><w:pPr/></w:p></w:tc><w:tc><w:tcPr><w:tcW w:w="1400" w:type="pct"/><w:noWrap/></w:tcPr><w:p><w:pPr/></w:p></w:tc><w:tc><w:tcPr><w:tcW w:w="50" w:type="pct"/><w:noWrap/></w:tcPr><w:p><w:pPr/></w:p></w:tc><w:tc><w:tcPr><w:tcW w:w="23950" w:type="pct"/><w:noWrap/></w:tcPr><w:p><w:pPr/></w:p></w:tc><w:tc><w:tcPr><w:tcW w:w="50" w:type="pct"/><w:noWrap/></w:tcPr><w:p><w:pPr/></w:p></w:tc><w:tc><w:tcPr><w:tcW w:w="1400" w:type="pct"/><w:noWrap/></w:tcPr><w:p><w:pPr/></w:p></w:tc><w:tc><w:tcPr><w:tcW w:w="50" w:type="pct"/><w:noWrap/></w:tcPr><w:p><w:pPr/></w:p></w:tc><w:tc><w:tcPr><w:tcW w:w="29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8"/><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 March 31, 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130,919,129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310,957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45,301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265,669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Cumulative-effect adjustment from adoption of </w:t></w:r><w:r><w:rPr><w:rFonts w:ascii="Times New Roman" w:hAnsi="Times New Roman" w:eastAsia="Times New Roman" w:cs="Times New Roman"/><w:color w:val="000000"/><w:sz w:val="16"/><w:szCs w:val="16"/><w:shd w:val="clear" w:fill="ffffff"/></w:rPr><w:t xml:space="preserve">ASU 2016-13</w:t></w:r><w:r><w:rPr><w:rFonts w:ascii="Times New Roman" w:hAnsi="Times New Roman" w:eastAsia="Times New Roman" w:cs="Times New Roman"/><w:color w:val="000000"/><w:sz w:val="16"/><w:szCs w:val="16"/><w:shd w:val="clear" w:fill="ffffff"/></w:rPr><w:t xml:space="preserve">, net of tax (Note 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307,258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2,969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2,969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131,226,387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312,573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48,885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263,701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center"/><w:spacing w:before="240" w:after="0"/></w:pPr><w:r><w:rPr><w:rFonts w:ascii="Times New Roman" w:hAnsi="Times New Roman" w:eastAsia="Times New Roman" w:cs="Times New Roman"/><w:color w:val="000000"/><w:sz w:val="20"/><w:szCs w:val="20"/></w:rPr><w:t xml:space="preserve">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 in thousands)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1650" w:type="dxa"/><w:gridCol w:w="250" w:type="dxa"/><w:gridCol w:w="50" w:type="dxa"/><w:gridCol w:w="9150" w:type="dxa"/><w:gridCol w:w="50" w:type="dxa"/><w:gridCol w:w="250" w:type="dxa"/><w:gridCol w:w="50" w:type="dxa"/><w:gridCol w:w="9150" w:type="dxa"/><w:gridCol w:w="50" w:type="dxa"/></w:tblGrid><w:tblPr><w:tblW w:w="0" w:type="pct"/><w:tblLayout w:type="autofit"/></w:tblPr><w:tr><w:trPr/><w:tc><w:tcPr><w:tcW w:w="31650" w:type="pct"/><w:noWrap/></w:tcPr><w:p><w:pPr/></w:p></w:tc><w:tc><w:tcPr><w:tcW w:w="250" w:type="pct"/><w:noWrap/></w:tcPr><w:p><w:pPr/></w:p></w:tc><w:tc><w:tcPr><w:tcW w:w="50" w:type="pct"/><w:noWrap/></w:tcPr><w:p><w:pPr/></w:p></w:tc><w:tc><w:tcPr><w:tcW w:w="9150" w:type="pct"/><w:noWrap/></w:tcPr><w:p><w:pPr/></w:p></w:tc><w:tc><w:tcPr><w:tcW w:w="50" w:type="pct"/><w:noWrap/></w:tcPr><w:p><w:pPr/></w:p></w:tc><w:tc><w:tcPr><w:tcW w:w="250" w:type="pct"/><w:noWrap/></w:tcPr><w:p><w:pPr/></w:p></w:tc><w:tc><w:tcPr><w:tcW w:w="50" w:type="pct"/><w:noWrap/></w:tcPr><w:p><w:pPr/></w:p></w:tc><w:tc><w:tcPr><w:tcW w:w="91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2,100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2,969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Adjustments to reconcile net loss to net cash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Depreciation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Amortization of intangible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901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Reduction in the carrying value of right-of-use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1,939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Non-cash interest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interest expense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Provision recorded for credit losses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Loss on disposal of property and equipment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347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Adjustment for excess and obsolete inventories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2,515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1,407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Stock-based compensation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Changes in operating assets and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receivable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15,117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3,429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Inventories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4,670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2,163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 and other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4,315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4,774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Operating leases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2,199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2,122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4,391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1,390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9,962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Other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10,162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5,077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Cash flows from investing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Purchases of property and equipment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2,222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7,562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used in investing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2,222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7,562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Payments of term loan under the 2021 Credit Agreement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1,406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Payments of withholding taxes in connection with RSUs vesting</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Proceeds from the exercise of stock options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Principal repayments of finance lease obligations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262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used in financing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2,608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1,236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Change in cash, cash equivalents and restricted cash</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14,992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13,875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cash equivalents, and restricted cash, beginning of period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104,338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103,290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cash equivalents, and restricted cash, end of period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89,346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89,415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Supplemental disclosure of cash flow information: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paid for interest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1,375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1,271</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paid for income taxes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128</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Supplemental disclosure of non-cash investing and financing activities: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Cumulative effect adjustment for adoption of ASU No. 2016-13 (Note 2)</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615</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Purchases of property and equipment included in accounts payable and accrued expenses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786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1,986</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Right-of-use assets obtained through operating lease obligations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1,586</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start"/><w:spacing w:before="120" w:after="0"/></w:pPr><w:r><w:rPr><w:rFonts w:ascii="Times New Roman" w:hAnsi="Times New Roman" w:eastAsia="Times New Roman" w:cs="Times New Roman"/><w:color w:val="000000"/><w:sz w:val="20"/><w:szCs w:val="20"/></w:rPr><w:t xml:space="preserve">                             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p><w:p><w:pPr><w:jc w:val="start"/><w:spacing w:before="24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rPr><w:t xml:space="preserve">Organogenesis Holdings Inc.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surgery centers (“ASCs”) and physician offices. The Company has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operating and reportable segment.</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accompanying unaudited condensed consolidated financial statements have been prepared by management in accordance with generally accepted accounting principles in the United States (“GAAP”), pursuant to the rules and regulations of the Securities and Exchange Commission (“SEC”) for interim financial statements. Certain information and footnote disclosures normally included in financial statements prepared in accordance with GAAP have been condensed or omitted pursuant to such rules and regulations. However, the Company believes that the disclosures are adequate to make the information presented not misleading. These unaudited condensed consolidated financial statements should be read in conjunction with the audited consolidated financial statements and notes thereto, for the year ended December 31, 2023, included in the Company’s annual report on Form 10-K for the fiscal year ended December 31, 2023, which was filed with the SEC on February 29, 2024 (the “Annual Report”).</w:t></w:r><w:r><w:rPr><w:rFonts w:ascii="Times New Roman" w:hAnsi="Times New Roman" w:eastAsia="Times New Roman" w:cs="Times New Roman"/><w:color w:val="000000"/><w:sz w:val="20"/><w:szCs w:val="20"/><w:b w:val="1"/><w:bCs w:val="1"/><w:i w:val="1"/><w:iCs w:val="1"/></w:rPr><w:t xml:space="preserve"> </w:t></w:r><w:r><w:rPr><w:rFonts w:ascii="Times New Roman" w:hAnsi="Times New Roman" w:eastAsia="Times New Roman" w:cs="Times New Roman"/><w:color w:val="000000"/><w:sz w:val="20"/><w:szCs w:val="20"/></w:rPr><w:t xml:space="preserve">The results for the three months ended March 31, 2024 are not necessarily indicative of the results to be expected for the year ending December 31, 2024</w:t></w:r><w:r><w:rPr><w:rFonts w:ascii="Times New Roman" w:hAnsi="Times New Roman" w:eastAsia="Times New Roman" w:cs="Times New Roman"/><w:color w:val="000000"/><w:sz w:val="20"/><w:szCs w:val="20"/></w:rPr><w:t xml:space="preserve">, any other interim periods, or any future years or periods.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significant accounting policies are described in the Company’s audited consolidated financial statements as of and for the year ended December 31, 2023, and the notes thereto, which are included in the Annual Report. There have been no material changes to the significant accounting policies previously disclosed in the Annual Report.</w:t></w:r></w:p><w:p><w:pPr><w:jc w:val="start"/><w:ind w:left="0" w:right="0" w:firstLine="0" w:hanging="0"/><w:spacing w:before="120" w:after="0"/></w:pPr><w:r><w:rPr><w:rFonts w:ascii="Times New Roman" w:hAnsi="Times New Roman" w:eastAsia="Times New Roman" w:cs="Times New Roman"/><w:color w:val="000000"/><w:sz w:val="20"/><w:szCs w:val="20"/></w:rPr><w:t xml:space="preserve">These unaudited condensed consolidated financial statements include the accounts and results of operations of Organogenesis Holdings Inc. and its wholly-owned subsidiaries, Organogenesis Inc., Organogenesis GmbH (a Switzerland corporation) and Prime Merger Sub, LLC. All intercompany balances and transactions have been eliminated in consolidation.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From time to time, new accounting pronouncements are issued by the Financial Accounting Standards Board (“FASB”) or other standard setting bodies that the Company adopts as of the specified effective date. Unless otherwise discussed below, the Company does not believe that the adoption of recently issued standards have had or may have a material impact on its condensed consolidated financial statements or disclosures.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preparation of financial statements in conformity with GAAP requires management to make estimates and assumptions that affect the reported amounts of assets and liabilities at the date of the financial statements and the reported results of operations during the reporting periods. In preparing the condensed consolidated financial statements, the estimates and assumptions that management considers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assets; and</w:t></w:r><w:r><w:rPr><w:rFonts w:ascii="Times New Roman" w:hAnsi="Times New Roman" w:eastAsia="Times New Roman" w:cs="Times New Roman"/><w:color w:val="000000"/><w:sz w:val="20"/><w:szCs w:val="20"/></w:rPr><w:t xml:space="preserve"> the valuation and recognition of stock-based compensation. Actual results and outcomes may differ significantly from those estimates and assumptions.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Recently Issued Accounting Pronouncements Not Yet Adopted</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FASB issued ASU 2023-07, </w:t></w:r><w:r><w:rPr><w:rFonts w:ascii="Times New Roman" w:hAnsi="Times New Roman" w:eastAsia="Times New Roman" w:cs="Times New Roman"/><w:color w:val="000000"/><w:sz w:val="20"/><w:szCs w:val="20"/><w:i w:val="1"/><w:iCs w:val="1"/></w:rPr><w:t xml:space="preserve">Segment Reporting (Topic 280): Improvements to Reportable Segment Disclosures</w:t></w:r><w:r><w:rPr><w:rFonts w:ascii="Times New Roman" w:hAnsi="Times New Roman" w:eastAsia="Times New Roman" w:cs="Times New Roman"/><w:color w:val="000000"/><w:sz w:val="20"/><w:szCs w:val="20"/></w:rPr><w:t xml:space="preserve">, which requires public entities to disclose information about their reportable segments’ significant expenses and other segment items on an interim and annual basis. Public entities with a single reportable segment are required to apply the disclosure requirements in ASU 2023-07, as well as all existing segment disclosures and reconciliation requirements in ASC 280. ASU 2023-07 is effective for fiscal years beginning after December 15, 2023, and for interim periods within fiscal years beginning after December 15, 2024, with early adoption permitted. The Company is currently evaluating the impact of adopting ASU 2023-07.</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December 2023, the FASB issued ASU 2023-09, </w:t></w:r><w:r><w:rPr><w:rFonts w:ascii="Times New Roman" w:hAnsi="Times New Roman" w:eastAsia="Times New Roman" w:cs="Times New Roman"/><w:color w:val="000000"/><w:sz w:val="20"/><w:szCs w:val="20"/><w:i w:val="1"/><w:iCs w:val="1"/></w:rPr><w:t xml:space="preserve">Income Taxes (Topic 740): Improvements to Income Tax Disclosures</w:t></w:r><w:r><w:rPr><w:rFonts w:ascii="Times New Roman" w:hAnsi="Times New Roman" w:eastAsia="Times New Roman" w:cs="Times New Roman"/><w:color w:val="000000"/><w:sz w:val="20"/><w:szCs w:val="20"/></w:rPr><w:t xml:space="preserve">, which requires public entities to disclose specific categories in the effective tax rate reconciliation, as well as additional information for reconciling items that exceed a quantitative threshold. ASU 2023-09 also requires all entities to disclose income taxes paid disaggregated by federal, state and foreign taxes, and further disaggregated for specific jurisdictions that exceed 5% of total income taxes paid, among other expanded disclosures. ASU 2023-09 is effective for fiscal years beginning after December 15, 2024, with early adoption permitted. The Company is currently evaluating the impact of adopting ASU 2023-09.</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Correction of Immaterial Classification Error</w:t></w:r></w:p><w:p><w:pPr><w:jc w:val="start"/><w:ind w:left="0" w:right="0" w:firstLine="0" w:hanging="0"/><w:spacing w:before="120" w:after="0"/></w:pPr><w:r><w:rPr><w:rFonts w:ascii="Times New Roman" w:hAnsi="Times New Roman" w:eastAsia="Times New Roman" w:cs="Times New Roman"/><w:color w:val="000000"/><w:sz w:val="20"/><w:szCs w:val="20"/></w:rPr><w:t xml:space="preserve">Subsequent to the issuance of the consolidated financial statements as of and for the year ended December 31, 2023, the Company determined that as of December 31, 2023, it had incorrectly classified $</w:t></w:r><w:r><w:rPr><w:rFonts w:ascii="Times New Roman" w:hAnsi="Times New Roman" w:eastAsia="Times New Roman" w:cs="Times New Roman"/><w:color w:val="000000"/><w:sz w:val="20"/><w:szCs w:val="20"/></w:rPr><w:t xml:space="preserve">5,273</w:t></w:r><w:r><w:rPr><w:rFonts w:ascii="Times New Roman" w:hAnsi="Times New Roman" w:eastAsia="Times New Roman" w:cs="Times New Roman"/><w:color w:val="000000"/><w:sz w:val="20"/><w:szCs w:val="20"/></w:rPr><w:t xml:space="preserve"> of accrued but unpaid lease obligations as current portion of operating lease obligations instead of as current portion of operating lease obligations - related party. As a result, the Company also incorrectly classified $</w:t></w:r><w:r><w:rPr><w:rFonts w:ascii="Times New Roman" w:hAnsi="Times New Roman" w:eastAsia="Times New Roman" w:cs="Times New Roman"/><w:color w:val="000000"/><w:sz w:val="20"/><w:szCs w:val="20"/></w:rPr><w:t xml:space="preserve">5,273</w:t></w:r><w:r><w:rPr><w:rFonts w:ascii="Times New Roman" w:hAnsi="Times New Roman" w:eastAsia="Times New Roman" w:cs="Times New Roman"/><w:color w:val="000000"/><w:sz w:val="20"/><w:szCs w:val="20"/></w:rPr><w:t xml:space="preserve"> of operating lease obligations, net of current portion as operating lease obligations, net of current portion - related party. These misclassifications have been corrected in the accompanying condensed consolidated balance sheets and conform to the current period presentation of operating lease obligations. These reclassifications had no impact on reported results of operations, stockholders’ equity, cash flows, total current liabilities, or total liabilities.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3. Revenue from Contracts with Customers</w:t></w:r></w:p><w:p><w:pPr><w:jc w:val="start"/><w:ind w:left="0" w:right="0" w:firstLine="0" w:hanging="0"/><w:spacing w:before="120" w:after="0"/></w:pPr><w:r><w:rPr><w:rFonts w:ascii="Times New Roman" w:hAnsi="Times New Roman" w:eastAsia="Times New Roman" w:cs="Times New Roman"/><w:color w:val="000000"/><w:sz w:val="20"/><w:szCs w:val="2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Product revenue is recognized when a customer obtains control of the Company’s products which occurs at a point in time and may be upon shipment, procedure date, or delivery, based on the terms of the contract. Revenue is recorded net of a reserve for returns, discounts and Group Purchasing Organization (“GPO”) rebates, which represent a direct reduction to the revenue recognized. These reductions are accrued at the time revenue is recognized, based upon historical experience and specific circumstances. For the three months ended March 31, 2024 and 2023, the Company recorded GPO fees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1,394</w:t></w:r><w:r><w:rPr><w:rFonts w:ascii="Times New Roman" w:hAnsi="Times New Roman" w:eastAsia="Times New Roman" w:cs="Times New Roman"/><w:color w:val="000000"/><w:sz w:val="20"/><w:szCs w:val="20"/></w:rPr><w:t xml:space="preserve"> and</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1,424</w:t></w:r><w:r><w:rPr><w:rFonts w:ascii="Times New Roman" w:hAnsi="Times New Roman" w:eastAsia="Times New Roman" w:cs="Times New Roman"/><w:color w:val="000000"/><w:sz w:val="20"/><w:szCs w:val="20"/></w:rPr><w:t xml:space="preserve">, respectively, as a direct reduction of revenue.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rPr><w:t xml:space="preserve">The following tables set forth revenue</w:t></w:r><w:r><w:rPr><w:rFonts w:ascii="Times New Roman" w:hAnsi="Times New Roman" w:eastAsia="Times New Roman" w:cs="Times New Roman"/><w:color w:val="000000"/><w:sz w:val="20"/><w:szCs w:val="20"/></w:rPr><w:t xml:space="preserve"> by product category:</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sz w:val="20"/><w:szCs w:val="20"/></w:rPr><w:t xml:space="preserve"> </w:t></w:r></w:p><w:tbl><w:tblGrid><w:gridCol w:w="46200" w:type="dxa"/><w:gridCol w:w="37150" w:type="dxa"/><w:gridCol w:w="50" w:type="dxa"/><w:gridCol w:w="7200000000000100" w:type="dxa"/><w:gridCol w:w="50" w:type="dxa"/><w:gridCol w:w="30150" w:type="dxa"/><w:gridCol w:w="50" w:type="dxa"/><w:gridCol w:w="29300000000000100" w:type="dxa"/><w:gridCol w:w="50" w:type="dxa"/></w:tblGrid><w:tblPr><w:tblW w:w="0" w:type="pct"/><w:tblLayout w:type="autofit"/></w:tblPr><w:tr><w:trPr/><w:tc><w:tcPr><w:tcW w:w="46200" w:type="pct"/><w:noWrap/></w:tcPr><w:p><w:pPr/></w:p></w:tc><w:tc><w:tcPr><w:tcW w:w="37150" w:type="pct"/><w:noWrap/></w:tcPr><w:p><w:pPr/></w:p></w:tc><w:tc><w:tcPr><w:tcW w:w="50" w:type="pct"/><w:noWrap/></w:tcPr><w:p><w:pPr/></w:p></w:tc><w:tc><w:tcPr><w:tcW w:w="7200000000000100" w:type="pct"/><w:noWrap/></w:tcPr><w:p><w:pPr/></w:p></w:tc><w:tc><w:tcPr><w:tcW w:w="50" w:type="pct"/><w:noWrap/></w:tcPr><w:p><w:pPr/></w:p></w:tc><w:tc><w:tcPr><w:tcW w:w="30150" w:type="pct"/><w:noWrap/></w:tcPr><w:p><w:pPr/></w:p></w:tc><w:tc><w:tcPr><w:tcW w:w="50" w:type="pct"/><w:noWrap/></w:tcPr><w:p><w:pPr/></w:p></w:tc><w:tc><w:tcPr><w:tcW w:w="29300000000000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103,864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100,917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6,112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6,725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109,976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107,642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For all periods presented, net revenue generated outside the United States represented less than </w:t></w:r><w:r><w:rPr><w:rFonts w:ascii="Times New Roman" w:hAnsi="Times New Roman" w:eastAsia="Times New Roman" w:cs="Times New Roman"/><w:color w:val="000000"/><w:sz w:val="20"/><w:szCs w:val="20"/></w:rPr><w:t xml:space="preserve">1</w:t></w:r><w:r><w:rPr><w:rFonts w:ascii="Times New Roman" w:hAnsi="Times New Roman" w:eastAsia="Times New Roman" w:cs="Times New Roman"/><w:color w:val="000000"/><w:sz w:val="20"/><w:szCs w:val="20"/></w:rPr><w:t xml:space="preserve">% of total net revenue.</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4. Accounts Receivable,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Accounts receiva</w:t></w:r><w:r><w:rPr><w:rFonts w:ascii="Times New Roman" w:hAnsi="Times New Roman" w:eastAsia="Times New Roman" w:cs="Times New Roman"/><w:color w:val="000000"/><w:sz w:val="20"/><w:szCs w:val="20"/></w:rPr><w:t xml:space="preserve">ble consisted of the following:</w:t></w:r><w:r><w:rPr><w:rFonts w:ascii="Times New Roman" w:hAnsi="Times New Roman" w:eastAsia="Times New Roman" w:cs="Times New Roman"/><w:color w:val="000000"/><w:sz w:val="20"/><w:szCs w:val="20"/></w:rPr><w:t xml:space="preserve"> </w:t></w:r></w:p><w:tbl><w:tblGrid><w:gridCol w:w="45900" w:type="dxa"/><w:gridCol w:w="8250" w:type="dxa"/><w:gridCol w:w="50" w:type="dxa"/><w:gridCol w:w="48450" w:type="dxa"/><w:gridCol w:w="50" w:type="dxa"/><w:gridCol w:w="8250" w:type="dxa"/><w:gridCol w:w="50" w:type="dxa"/><w:gridCol w:w="39150" w:type="dxa"/><w:gridCol w:w="50" w:type="dxa"/></w:tblGrid><w:tblPr><w:tblW w:w="0" w:type="pct"/><w:tblLayout w:type="autofit"/></w:tblPr><w:tr><w:trPr/><w:tc><w:tcPr><w:tcW w:w="45900" w:type="pct"/><w:noWrap/></w:tcPr><w:p><w:pPr/></w:p></w:tc><w:tc><w:tcPr><w:tcW w:w="8250" w:type="pct"/><w:noWrap/></w:tcPr><w:p><w:pPr/></w:p></w:tc><w:tc><w:tcPr><w:tcW w:w="50" w:type="pct"/><w:noWrap/></w:tcPr><w:p><w:pPr/></w:p></w:tc><w:tc><w:tcPr><w:tcW w:w="48450" w:type="pct"/><w:noWrap/></w:tcPr><w:p><w:pPr/></w:p></w:tc><w:tc><w:tcPr><w:tcW w:w="50" w:type="pct"/><w:noWrap/></w:tcPr><w:p><w:pPr/></w:p></w:tc><w:tc><w:tcPr><w:tcW w:w="8250" w:type="pct"/><w:noWrap/></w:tcPr><w:p><w:pPr/></w:p></w:tc><w:tc><w:tcPr><w:tcW w:w="50" w:type="pct"/><w:noWrap/></w:tcPr><w:p><w:pPr/></w:p></w:tc><w:tc><w:tcPr><w:tcW w:w="39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Accounts receivable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103,623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88,859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 allowance for credit losses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7,475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6,860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96,148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81,999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The Company</w:t></w:r><w:r><w:rPr><w:rFonts w:ascii="Times New Roman" w:hAnsi="Times New Roman" w:eastAsia="Times New Roman" w:cs="Times New Roman"/><w:color w:val="000000"/><w:sz w:val="20"/><w:szCs w:val="20"/></w:rPr><w:t xml:space="preserve">’s allowance for credit losses is comprised of the following:</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100" w:type="dxa"/><w:gridCol w:w="50" w:type="dxa"/><w:gridCol w:w="50" w:type="dxa"/><w:gridCol w:w="39999999999999850" w:type="dxa"/><w:gridCol w:w="50" w:type="dxa"/><w:gridCol w:w="50" w:type="dxa"/><w:gridCol w:w="50" w:type="dxa"/><w:gridCol w:w="39999999999999850" w:type="dxa"/><w:gridCol w:w="50" w:type="dxa"/></w:tblGrid><w:tblPr><w:tblW w:w="0" w:type="pct"/><w:tblLayout w:type="autofit"/></w:tblPr><w:tr><w:trPr/><w:tc><w:tcPr><w:tcW w:w="100" w:type="pct"/><w:noWrap/></w:tcPr><w:p><w:pPr/></w:p></w:tc><w:tc><w:tcPr><w:tcW w:w="50" w:type="pct"/><w:noWrap/></w:tcPr><w:p><w:pPr/></w:p></w:tc><w:tc><w:tcPr><w:tcW w:w="50" w:type="pct"/><w:noWrap/></w:tcPr><w:p><w:pPr/></w:p></w:tc><w:tc><w:tcPr><w:tcW w:w="39999999999999850" w:type="pct"/><w:noWrap/></w:tcPr><w:p><w:pPr/></w:p></w:tc><w:tc><w:tcPr><w:tcW w:w="50" w:type="pct"/><w:noWrap/></w:tcPr><w:p><w:pPr/></w:p></w:tc><w:tc><w:tcPr><w:tcW w:w="50" w:type="pct"/><w:noWrap/></w:tcPr><w:p><w:pPr/></w:p></w:tc><w:tc><w:tcPr><w:tcW w:w="50" w:type="pct"/><w:noWrap/></w:tcPr><w:p><w:pPr/></w:p></w:tc><w:tc><w:tcPr><w:tcW w:w="399999999999998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w:t></w:r><w:b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beginning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6,860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6,362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Cumulative effect of adopting ASU 2016-13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Additions (adjustments)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Write-offs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356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299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Recoveries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Balance at end of period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7,475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6,921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5.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Inventories, net of related reserves for excess and obsolescence, </w:t></w:r><w:r><w:rPr><w:rFonts w:ascii="Times New Roman" w:hAnsi="Times New Roman" w:eastAsia="Times New Roman" w:cs="Times New Roman"/><w:color w:val="000000"/><w:sz w:val="20"/><w:szCs w:val="20"/></w:rPr><w:t xml:space="preserve">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950" w:type="dxa"/><w:gridCol w:w="10200" w:type="dxa"/><w:gridCol w:w="50" w:type="dxa"/><w:gridCol w:w="48100" w:type="dxa"/><w:gridCol w:w="50" w:type="dxa"/><w:gridCol w:w="10200" w:type="dxa"/><w:gridCol w:w="50" w:type="dxa"/><w:gridCol w:w="42050" w:type="dxa"/><w:gridCol w:w="50" w:type="dxa"/></w:tblGrid><w:tblPr><w:tblW w:w="0" w:type="pct"/><w:tblLayout w:type="autofit"/></w:tblPr><w:tr><w:trPr/><w:tc><w:tcPr><w:tcW w:w="3950" w:type="pct"/><w:noWrap/></w:tcPr><w:p><w:pPr/></w:p></w:tc><w:tc><w:tcPr><w:tcW w:w="10200" w:type="pct"/><w:noWrap/></w:tcPr><w:p><w:pPr/></w:p></w:tc><w:tc><w:tcPr><w:tcW w:w="50" w:type="pct"/><w:noWrap/></w:tcPr><w:p><w:pPr/></w:p></w:tc><w:tc><w:tcPr><w:tcW w:w="48100" w:type="pct"/><w:noWrap/></w:tcPr><w:p><w:pPr/></w:p></w:tc><w:tc><w:tcPr><w:tcW w:w="50" w:type="pct"/><w:noWrap/></w:tcPr><w:p><w:pPr/></w:p></w:tc><w:tc><w:tcPr><w:tcW w:w="10200" w:type="pct"/><w:noWrap/></w:tcPr><w:p><w:pPr/></w:p></w:tc><w:tc><w:tcPr><w:tcW w:w="50" w:type="pct"/><w:noWrap/></w:tcPr><w:p><w:pPr/></w:p></w:tc><w:tc><w:tcPr><w:tcW w:w="42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Raw materials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13,341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12,988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Work in process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858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810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Finished goods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13,495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14,455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27,694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28,253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months ended March 31, 2024 and 2023, the Company charged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2,515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1,407</w:t></w:r><w:r><w:rPr><w:rFonts w:ascii="Times New Roman" w:hAnsi="Times New Roman" w:eastAsia="Times New Roman" w:cs="Times New Roman"/><w:color w:val="000000"/><w:sz w:val="20"/><w:szCs w:val="20"/></w:rPr><w:t xml:space="preserve">, respectively, for inventory excess and obsolescence to cost of goods sold within the condensed consolidated statements of operations and comprehensive loss.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6. Property and Equipment,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Property and equipme</w:t></w:r><w:r><w:rPr><w:rFonts w:ascii="Times New Roman" w:hAnsi="Times New Roman" w:eastAsia="Times New Roman" w:cs="Times New Roman"/><w:color w:val="000000"/><w:sz w:val="20"/><w:szCs w:val="20"/></w:rPr><w:t xml:space="preserve">nt 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2950" w:type="dxa"/><w:gridCol w:w="18350" w:type="dxa"/><w:gridCol w:w="50" w:type="dxa"/><w:gridCol w:w="3050" w:type="dxa"/><w:gridCol w:w="50" w:type="dxa"/><w:gridCol w:w="18350" w:type="dxa"/><w:gridCol w:w="50" w:type="dxa"/><w:gridCol w:w="9800" w:type="dxa"/><w:gridCol w:w="50" w:type="dxa"/></w:tblGrid><w:tblPr><w:tblW w:w="0" w:type="pct"/><w:tblLayout w:type="autofit"/></w:tblPr><w:tr><w:trPr/><w:tc><w:tcPr><w:tcW w:w="22950" w:type="pct"/><w:noWrap/></w:tcPr><w:p><w:pPr/></w:p></w:tc><w:tc><w:tcPr><w:tcW w:w="18350" w:type="pct"/><w:noWrap/></w:tcPr><w:p><w:pPr/></w:p></w:tc><w:tc><w:tcPr><w:tcW w:w="50" w:type="pct"/><w:noWrap/></w:tcPr><w:p><w:pPr/></w:p></w:tc><w:tc><w:tcPr><w:tcW w:w="3050" w:type="pct"/><w:noWrap/></w:tcPr><w:p><w:pPr/></w:p></w:tc><w:tc><w:tcPr><w:tcW w:w="50" w:type="pct"/><w:noWrap/></w:tcPr><w:p><w:pPr/></w:p></w:tc><w:tc><w:tcPr><w:tcW w:w="18350" w:type="pct"/><w:noWrap/></w:tcPr><w:p><w:pPr/></w:p></w:tc><w:tc><w:tcPr><w:tcW w:w="50" w:type="pct"/><w:noWrap/></w:tcPr><w:p><w:pPr/></w:p></w:tc><w:tc><w:tcPr><w:tcW w:w="98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Leasehold improvements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62,129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60,819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Buildings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4,943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4,943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Furniture, computers and equipment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63,528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64,585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130,600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130,347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Accumulated depreciation</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74,745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73,186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Construction in progress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58,390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59,067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114,245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116,228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40" w:after="0"/></w:pPr><w:r><w:rPr><w:rFonts w:ascii="Times New Roman" w:hAnsi="Times New Roman" w:eastAsia="Times New Roman" w:cs="Times New Roman"/><w:color w:val="000000"/><w:sz w:val="20"/><w:szCs w:val="20"/></w:rPr><w:t xml:space="preserve">Depreciation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3,072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2,694</w:t></w:r><w:r><w:rPr><w:rFonts w:ascii="Times New Roman" w:hAnsi="Times New Roman" w:eastAsia="Times New Roman" w:cs="Times New Roman"/><w:color w:val="000000"/><w:sz w:val="20"/><w:szCs w:val="20"/></w:rPr><w:t xml:space="preserve"> for the three months ended March 31, 2024 and 2023, respectively. </w:t></w:r><w:r><w:rPr><w:rFonts w:ascii="Times New Roman" w:hAnsi="Times New Roman" w:eastAsia="Times New Roman" w:cs="Times New Roman"/><w:color w:val="000000"/><w:sz w:val="20"/><w:szCs w:val="20"/></w:rPr><w:t xml:space="preserve">Construction in progress primarily represents the ongoing ERP system implementation and the unfinished construction work on a purchased building located on the Company’s Canton, Massachusetts campus and improvements at the Company’s leased facilities in Canton and Norwood, Massachusetts.</w:t></w:r><w:r><w:rPr><w:rFonts w:ascii="Times New Roman" w:hAnsi="Times New Roman" w:eastAsia="Times New Roman" w:cs="Times New Roman"/><w:color w:val="000000"/><w:sz w:val="20"/><w:szCs w:val="20"/></w:rPr><w:t xml:space="preserve"> </w:t></w:r></w:p><w:p><w:pPr><w:jc w:val="start"/><w:ind w:left="0" w:right="0" w:firstLine="0" w:hanging="0"/><w:spacing w:before="40" w:after="0"/></w:pP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7. Goodwill and Intangible Assets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Goodwill was $</w:t></w:r><w:r><w:rPr><w:rFonts w:ascii="Times New Roman" w:hAnsi="Times New Roman" w:eastAsia="Times New Roman" w:cs="Times New Roman"/><w:color w:val="000000"/><w:sz w:val="20"/><w:szCs w:val="20"/></w:rPr><w:t xml:space="preserve">28,772</w:t></w:r><w:r><w:rPr><w:rFonts w:ascii="Times New Roman" w:hAnsi="Times New Roman" w:eastAsia="Times New Roman" w:cs="Times New Roman"/><w:color w:val="000000"/><w:sz w:val="20"/><w:szCs w:val="20"/></w:rPr><w:t xml:space="preserve"> as of </w:t></w:r><w:r><w:rPr><w:rFonts w:ascii="Times New Roman" w:hAnsi="Times New Roman" w:eastAsia="Times New Roman" w:cs="Times New Roman"/><w:color w:val="000000"/><w:sz w:val="20"/><w:szCs w:val="20"/></w:rPr><w:t xml:space="preserve">March 31, 2024 and December 31, 2023</w:t></w:r><w:r><w:rPr><w:rFonts w:ascii="Times New Roman" w:hAnsi="Times New Roman" w:eastAsia="Times New Roman" w:cs="Times New Roman"/><w:color w:val="000000"/><w:sz w:val="20"/><w:szCs w:val="20"/></w:rPr><w:t xml:space="preserve">. There was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impairment of goodwill recorded during the </w:t></w:r><w:r><w:rPr><w:rFonts w:ascii="Times New Roman" w:hAnsi="Times New Roman" w:eastAsia="Times New Roman" w:cs="Times New Roman"/><w:color w:val="000000"/><w:sz w:val="20"/><w:szCs w:val="20"/></w:rPr><w:t xml:space="preserve">three months ended March 31, 2024 and 2023.</w:t></w:r></w:p><w:p><w:pPr><w:jc w:val="start"/><w:ind w:left="0" w:right="0" w:firstLine="0" w:hanging="0"/><w:spacing w:before="120" w:after="0"/></w:pPr><w:r><w:rPr><w:rFonts w:ascii="Times New Roman" w:hAnsi="Times New Roman" w:eastAsia="Times New Roman" w:cs="Times New Roman"/><w:color w:val="000000"/><w:sz w:val="20"/><w:szCs w:val="20"/></w:rPr><w:t xml:space="preserve">Intangible assets consisted</w:t></w:r><w:r><w:rPr><w:rFonts w:ascii="Times New Roman" w:hAnsi="Times New Roman" w:eastAsia="Times New Roman" w:cs="Times New Roman"/><w:color w:val="000000"/><w:sz w:val="20"/><w:szCs w:val="20"/></w:rPr><w:t xml:space="preserve"> of the following as of March 31,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3900" w:type="dxa"/><w:gridCol w:w="7450" w:type="dxa"/><w:gridCol w:w="50" w:type="dxa"/><w:gridCol w:w="12050" w:type="dxa"/><w:gridCol w:w="50" w:type="dxa"/><w:gridCol w:w="7450" w:type="dxa"/><w:gridCol w:w="50" w:type="dxa"/><w:gridCol w:w="12050" w:type="dxa"/><w:gridCol w:w="50" w:type="dxa"/><w:gridCol w:w="7450" w:type="dxa"/><w:gridCol w:w="50" w:type="dxa"/><w:gridCol w:w="1950" w:type="dxa"/><w:gridCol w:w="50" w:type="dxa"/></w:tblGrid><w:tblPr><w:tblW w:w="0" w:type="pct"/><w:tblLayout w:type="autofit"/></w:tblPr><w:tr><w:trPr/><w:tc><w:tcPr><w:tcW w:w="33900" w:type="pct"/><w:noWrap/></w:tcPr><w:p><w:pPr/></w:p></w:tc><w:tc><w:tcPr><w:tcW w:w="7450" w:type="pct"/><w:noWrap/></w:tcPr><w:p><w:pPr/></w:p></w:tc><w:tc><w:tcPr><w:tcW w:w="50" w:type="pct"/><w:noWrap/></w:tcPr><w:p><w:pPr/></w:p></w:tc><w:tc><w:tcPr><w:tcW w:w="12050" w:type="pct"/><w:noWrap/></w:tcPr><w:p><w:pPr/></w:p></w:tc><w:tc><w:tcPr><w:tcW w:w="50" w:type="pct"/><w:noWrap/></w:tcPr><w:p><w:pPr/></w:p></w:tc><w:tc><w:tcPr><w:tcW w:w="7450" w:type="pct"/><w:noWrap/></w:tcPr><w:p><w:pPr/></w:p></w:tc><w:tc><w:tcPr><w:tcW w:w="50" w:type="pct"/><w:noWrap/></w:tcPr><w:p><w:pPr/></w:p></w:tc><w:tc><w:tcPr><w:tcW w:w="12050" w:type="pct"/><w:noWrap/></w:tcPr><w:p><w:pPr/></w:p></w:tc><w:tc><w:tcPr><w:tcW w:w="50" w:type="pct"/><w:noWrap/></w:tcPr><w:p><w:pPr/></w:p></w:tc><w:tc><w:tcPr><w:tcW w:w="7450" w:type="pct"/><w:noWrap/></w:tcPr><w:p><w:pPr/></w:p></w:tc><w:tc><w:tcPr><w:tcW w:w="50" w:type="pct"/><w:noWrap/></w:tcPr><w:p><w:pPr/></w:p></w:tc><w:tc><w:tcPr><w:tcW w:w="1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25,226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7,394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3,786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6,904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1,627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791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43,553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14,970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Intangible assets consisted of the following as of December 31, 2023:</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900" w:type="dxa"/><w:gridCol w:w="6800" w:type="dxa"/><w:gridCol w:w="50" w:type="dxa"/><w:gridCol w:w="1900" w:type="dxa"/><w:gridCol w:w="50" w:type="dxa"/><w:gridCol w:w="6800" w:type="dxa"/><w:gridCol w:w="50" w:type="dxa"/><w:gridCol w:w="42800" w:type="dxa"/><w:gridCol w:w="50" w:type="dxa"/><w:gridCol w:w="6800" w:type="dxa"/><w:gridCol w:w="50" w:type="dxa"/><w:gridCol w:w="20050" w:type="dxa"/><w:gridCol w:w="50" w:type="dxa"/></w:tblGrid><w:tblPr><w:tblW w:w="0" w:type="pct"/><w:tblLayout w:type="autofit"/></w:tblPr><w:tr><w:trPr/><w:tc><w:tcPr><w:tcW w:w="14900" w:type="pct"/><w:noWrap/></w:tcPr><w:p><w:pPr/></w:p></w:tc><w:tc><w:tcPr><w:tcW w:w="6800" w:type="pct"/><w:noWrap/></w:tcPr><w:p><w:pPr/></w:p></w:tc><w:tc><w:tcPr><w:tcW w:w="50" w:type="pct"/><w:noWrap/></w:tcPr><w:p><w:pPr/></w:p></w:tc><w:tc><w:tcPr><w:tcW w:w="1900" w:type="pct"/><w:noWrap/></w:tcPr><w:p><w:pPr/></w:p></w:tc><w:tc><w:tcPr><w:tcW w:w="50" w:type="pct"/><w:noWrap/></w:tcPr><w:p><w:pPr/></w:p></w:tc><w:tc><w:tcPr><w:tcW w:w="6800" w:type="pct"/><w:noWrap/></w:tcPr><w:p><w:pPr/></w:p></w:tc><w:tc><w:tcPr><w:tcW w:w="50" w:type="pct"/><w:noWrap/></w:tcPr><w:p><w:pPr/></w:p></w:tc><w:tc><w:tcPr><w:tcW w:w="42800" w:type="pct"/><w:noWrap/></w:tcPr><w:p><w:pPr/></w:p></w:tc><w:tc><w:tcPr><w:tcW w:w="50" w:type="pct"/><w:noWrap/></w:tcPr><w:p><w:pPr/></w:p></w:tc><w:tc><w:tcPr><w:tcW w:w="6800" w:type="pct"/><w:noWrap/></w:tcPr><w:p><w:pPr/></w:p></w:tc><w:tc><w:tcPr><w:tcW w:w="50" w:type="pct"/><w:noWrap/></w:tcPr><w:p><w:pPr/></w:p></w:tc><w:tc><w:tcPr><w:tcW w:w="2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24,666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7,954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3,519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7,171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1,590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490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754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42,652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15,871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Amortization of intangible assets, calculated on a straight-line basis or using an accelerated method,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901</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1,230</w:t></w:r><w:r><w:rPr><w:rFonts w:ascii="Times New Roman" w:hAnsi="Times New Roman" w:eastAsia="Times New Roman" w:cs="Times New Roman"/><w:color w:val="000000"/><w:sz w:val="20"/><w:szCs w:val="20"/></w:rPr><w:t xml:space="preserve"> for the three months ended March 31, 2024 and 2023, respectively. The weighted average remaining useful lives for developed technology, trade names and trademarks, customer relationship, and non-compete agreements are </w:t></w:r><w:r><w:rPr><w:rFonts w:ascii="Times New Roman" w:hAnsi="Times New Roman" w:eastAsia="Times New Roman" w:cs="Times New Roman"/><w:color w:val="000000"/><w:sz w:val="20"/><w:szCs w:val="20"/></w:rPr><w:t xml:space="preserve">4.2</w:t></w:r><w:r><w:rPr><w:rFonts w:ascii="Times New Roman" w:hAnsi="Times New Roman" w:eastAsia="Times New Roman" w:cs="Times New Roman"/><w:color w:val="000000"/><w:sz w:val="20"/><w:szCs w:val="20"/></w:rPr><w:t xml:space="preserve"> years, </w:t></w:r><w:r><w:rPr><w:rFonts w:ascii="Times New Roman" w:hAnsi="Times New Roman" w:eastAsia="Times New Roman" w:cs="Times New Roman"/><w:color w:val="000000"/><w:sz w:val="20"/><w:szCs w:val="20"/></w:rPr><w:t xml:space="preserve">4.2</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years, </w:t></w:r><w:r><w:rPr><w:rFonts w:ascii="Times New Roman" w:hAnsi="Times New Roman" w:eastAsia="Times New Roman" w:cs="Times New Roman"/><w:color w:val="000000"/><w:sz w:val="20"/><w:szCs w:val="20"/></w:rPr><w:t xml:space="preserve">6.5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years, and </w:t></w:r><w:r><w:rPr><w:rFonts w:ascii="Times New Roman" w:hAnsi="Times New Roman" w:eastAsia="Times New Roman" w:cs="Times New Roman"/><w:color w:val="000000"/><w:sz w:val="20"/><w:szCs w:val="20"/></w:rPr><w:t xml:space="preserve">1.5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years, respectively, as of </w:t></w:r><w:r><w:rPr><w:rFonts w:ascii="Times New Roman" w:hAnsi="Times New Roman" w:eastAsia="Times New Roman" w:cs="Times New Roman"/><w:color w:val="000000"/><w:sz w:val="20"/><w:szCs w:val="20"/></w:rPr><w:t xml:space="preserve">March 31, 2024</w:t></w:r><w:r><w:rPr><w:rFonts w:ascii="Times New Roman" w:hAnsi="Times New Roman" w:eastAsia="Times New Roman" w:cs="Times New Roman"/><w:color w:val="000000"/><w:sz w:val="20"/><w:szCs w:val="20"/></w:rPr><w:t xml:space="preserve">.</w:t></w:r></w:p><w:p><w:pPr><w:jc w:val="start"/><w:spacing w:before="120" w:after="0"/></w:pPr><w:r><w:rPr><w:rFonts w:ascii="Times New Roman" w:hAnsi="Times New Roman" w:eastAsia="Times New Roman" w:cs="Times New Roman"/><w:color w:val="000000"/><w:sz w:val="20"/><w:szCs w:val="20"/><w:b w:val="1"/><w:bCs w:val="1"/></w:rPr><w:t xml:space="preserve">8. Accrued Expenses and Other Current Liabilities</w:t></w:r></w:p><w:p><w:pPr><w:jc w:val="start"/><w:ind w:left="0" w:right="0" w:firstLine="0" w:hanging="0"/><w:spacing w:before="120" w:after="0"/></w:pPr><w:r><w:rPr><w:rFonts w:ascii="Times New Roman" w:hAnsi="Times New Roman" w:eastAsia="Times New Roman" w:cs="Times New Roman"/><w:color w:val="000000"/><w:sz w:val="20"/><w:szCs w:val="20"/></w:rPr><w:t xml:space="preserve">Accrued expenses and other current liabilities consisted</w:t></w:r><w:r><w:rPr><w:rFonts w:ascii="Times New Roman" w:hAnsi="Times New Roman" w:eastAsia="Times New Roman" w:cs="Times New Roman"/><w:color w:val="000000"/><w:sz w:val="20"/><w:szCs w:val="20"/></w:rPr><w:t xml:space="preserve">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0650" w:type="dxa"/><w:gridCol w:w="250" w:type="dxa"/><w:gridCol w:w="50" w:type="dxa"/><w:gridCol w:w="43150000000000050" w:type="dxa"/><w:gridCol w:w="50" w:type="dxa"/><w:gridCol w:w="1800" w:type="dxa"/><w:gridCol w:w="50" w:type="dxa"/><w:gridCol w:w="43150000000000050" w:type="dxa"/><w:gridCol w:w="50" w:type="dxa"/></w:tblGrid><w:tblPr><w:tblW w:w="0" w:type="pct"/><w:tblLayout w:type="autofit"/></w:tblPr><w:tr><w:trPr/><w:tc><w:tcPr><w:tcW w:w="20650" w:type="pct"/><w:noWrap/></w:tcPr><w:p><w:pPr/></w:p></w:tc><w:tc><w:tcPr><w:tcW w:w="250" w:type="pct"/><w:noWrap/></w:tcPr><w:p><w:pPr/></w:p></w:tc><w:tc><w:tcPr><w:tcW w:w="50" w:type="pct"/><w:noWrap/></w:tcPr><w:p><w:pPr/></w:p></w:tc><w:tc><w:tcPr><w:tcW w:w="43150000000000050" w:type="pct"/><w:noWrap/></w:tcPr><w:p><w:pPr/></w:p></w:tc><w:tc><w:tcPr><w:tcW w:w="50" w:type="pct"/><w:noWrap/></w:tcPr><w:p><w:pPr/></w:p></w:tc><w:tc><w:tcPr><w:tcW w:w="1800" w:type="pct"/><w:noWrap/></w:tcPr><w:p><w:pPr/></w:p></w:tc><w:tc><w:tcPr><w:tcW w:w="50" w:type="pct"/><w:noWrap/></w:tcPr><w:p><w:pPr/></w:p></w:tc><w:tc><w:tcPr><w:tcW w:w="43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Personnel costs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24,078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18,287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Royalties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6,582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3,075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Accrued but unpaid lease obligations and interest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2,448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milestone payment (Note 14)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Accrued option payment (Note 14)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2,500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taxes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483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2,799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Other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39,759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30,074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360" w:after="0"/></w:pPr><w:r><w:rPr><w:rFonts w:ascii="Times New Roman" w:hAnsi="Times New Roman" w:eastAsia="Times New Roman" w:cs="Times New Roman"/><w:color w:val="000000"/><w:sz w:val="20"/><w:szCs w:val="20"/></w:rPr><w:t xml:space="preserve">The accrued but unpaid lease obligations and the interest accrual on these obligations are related to the buildings in Canton, Massachusetts. See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rPr><w:t xml:space="preserve">9. Restructuring</w:t></w:r></w:p><w:p><w:pPr><w:jc w:val="start"/><w:ind w:left="0" w:right="0" w:firstLine="0" w:hanging="0"/><w:spacing w:before="120" w:after="0"/></w:pPr><w:r><w:rPr><w:rFonts w:ascii="Times New Roman" w:hAnsi="Times New Roman" w:eastAsia="Times New Roman" w:cs="Times New Roman"/><w:color w:val="000000"/><w:sz w:val="20"/><w:szCs w:val="20"/></w:rPr><w:t xml:space="preserve">In order to reduce the Company’s cost structure and improve operating efficiency, the Company has consolidated its manufacturing operations in various locations into Massachusetts facilities.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February 3, 2023, the Company committed to a plan to restructure its workforce to increase productivity and enhance profitability. The reduction in force reduced the Company’s headcount by </w:t></w:r><w:r><w:rPr><w:rFonts w:ascii="Times New Roman" w:hAnsi="Times New Roman" w:eastAsia="Times New Roman" w:cs="Times New Roman"/><w:color w:val="000000"/><w:sz w:val="20"/><w:szCs w:val="20"/></w:rPr><w:t xml:space="preserve">71</w:t></w:r><w:r><w:rPr><w:rFonts w:ascii="Times New Roman" w:hAnsi="Times New Roman" w:eastAsia="Times New Roman" w:cs="Times New Roman"/><w:color w:val="000000"/><w:sz w:val="20"/><w:szCs w:val="20"/></w:rPr><w:t xml:space="preserve"> employees, or approximately </w:t></w:r><w:r><w:rPr><w:rFonts w:ascii="Times New Roman" w:hAnsi="Times New Roman" w:eastAsia="Times New Roman" w:cs="Times New Roman"/><w:color w:val="000000"/><w:sz w:val="20"/><w:szCs w:val="20"/></w:rPr><w:t xml:space="preserve">7</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of all employees. The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Company </w:t></w:r><w:r><w:rPr><w:rFonts w:ascii="Times New Roman" w:hAnsi="Times New Roman" w:eastAsia="Times New Roman" w:cs="Times New Roman"/><w:color w:val="000000"/><w:sz w:val="20"/><w:szCs w:val="20"/></w:rPr><w:t xml:space="preserve">incurred a t</w:t></w:r><w:r><w:rPr><w:rFonts w:ascii="Times New Roman" w:hAnsi="Times New Roman" w:eastAsia="Times New Roman" w:cs="Times New Roman"/><w:color w:val="000000"/><w:sz w:val="20"/><w:szCs w:val="20"/></w:rPr><w:t xml:space="preserve">otal charge of $</w:t></w:r><w:r><w:rPr><w:rFonts w:ascii="Times New Roman" w:hAnsi="Times New Roman" w:eastAsia="Times New Roman" w:cs="Times New Roman"/><w:color w:val="000000"/><w:sz w:val="20"/><w:szCs w:val="20"/></w:rPr><w:t xml:space="preserve">1,817</w:t></w:r><w:r><w:rPr><w:rFonts w:ascii="Times New Roman" w:hAnsi="Times New Roman" w:eastAsia="Times New Roman" w:cs="Times New Roman"/><w:color w:val="000000"/><w:sz w:val="20"/><w:szCs w:val="20"/></w:rPr><w:t xml:space="preserve"> in the </w:t></w:r><w:r><w:rPr><w:rFonts w:ascii="Times New Roman" w:hAnsi="Times New Roman" w:eastAsia="Times New Roman" w:cs="Times New Roman"/><w:color w:val="000000"/><w:sz w:val="20"/><w:szCs w:val="20"/></w:rPr><w:t xml:space="preserve">three months ended March 31, 2023 in connection with the restructuring, primarily consisting of severance payments. It was substantially completed as of March 31, 2023.</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a result of the restructuring activiti</w:t></w:r><w:r><w:rPr><w:rFonts w:ascii="Times New Roman" w:hAnsi="Times New Roman" w:eastAsia="Times New Roman" w:cs="Times New Roman"/><w:color w:val="000000"/><w:sz w:val="20"/><w:szCs w:val="20"/></w:rPr><w:t xml:space="preserve">es, the Company incurred a total pre-tax charge of $</w:t></w:r><w:r><w:rPr><w:rFonts w:ascii="Times New Roman" w:hAnsi="Times New Roman" w:eastAsia="Times New Roman" w:cs="Times New Roman"/><w:color w:val="000000"/><w:sz w:val="20"/><w:szCs w:val="20"/></w:rPr><w:t xml:space="preserve">1,908</w:t></w:r><w:r><w:rPr><w:rFonts w:ascii="Times New Roman" w:hAnsi="Times New Roman" w:eastAsia="Times New Roman" w:cs="Times New Roman"/><w:color w:val="000000"/><w:sz w:val="20"/><w:szCs w:val="20"/></w:rPr><w:t xml:space="preserve"> during the </w:t></w:r><w:r><w:rPr><w:rFonts w:ascii="Times New Roman" w:hAnsi="Times New Roman" w:eastAsia="Times New Roman" w:cs="Times New Roman"/><w:color w:val="000000"/><w:sz w:val="20"/><w:szCs w:val="20"/></w:rPr><w:t xml:space="preserve">three months ended March 31, 2023. These charges were included in selling, general and administrative expenses in the condensed consolidated statements of operations and comprehensive loss. The liability related to the restructuring activities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280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904</w:t></w:r><w:r><w:rPr><w:rFonts w:ascii="Times New Roman" w:hAnsi="Times New Roman" w:eastAsia="Times New Roman" w:cs="Times New Roman"/><w:color w:val="000000"/><w:sz w:val="20"/><w:szCs w:val="20"/></w:rPr><w:t xml:space="preserve"> a</w:t></w:r><w:r><w:rPr><w:rFonts w:ascii="Times New Roman" w:hAnsi="Times New Roman" w:eastAsia="Times New Roman" w:cs="Times New Roman"/><w:color w:val="000000"/><w:sz w:val="20"/><w:szCs w:val="20"/></w:rPr><w:t xml:space="preserve">s of March 31, 2024 and December 31, 2023, respectively, and w</w:t></w:r><w:r><w:rPr><w:rFonts w:ascii="Times New Roman" w:hAnsi="Times New Roman" w:eastAsia="Times New Roman" w:cs="Times New Roman"/><w:color w:val="000000"/><w:sz w:val="20"/><w:szCs w:val="20"/></w:rPr><w:t xml:space="preserve">as included in accrued expenses and other current liabilities in the condensed consolidated balance sheets. </w:t></w:r><w:r><w:rPr><w:rFonts w:ascii="Times New Roman" w:hAnsi="Times New Roman" w:eastAsia="Times New Roman" w:cs="Times New Roman"/><w:color w:val="000000"/><w:sz w:val="20"/><w:szCs w:val="20"/></w:rPr><w:t xml:space="preserve">The following tables provide a roll-forward of the restructuring liabilities.</w:t></w:r></w:p><w:p><w:pPr><w:jc w:val="start"/><w:ind w:left="0" w:right="0" w:firstLine="0" w:hanging="0"/><w:spacing w:before="0" w:after="0"/></w:pPr><w:r><w:rPr><w:rFonts w:ascii="Times New Roman" w:hAnsi="Times New Roman" w:eastAsia="Times New Roman" w:cs="Times New Roman"/><w:sz w:val="24"/><w:szCs w:val="24"/></w:rPr><w:t xml:space="preserve"> </w:t></w:r></w:p><w:tbl><w:tblGrid><w:gridCol w:w="46150" w:type="dxa"/><w:gridCol w:w="42600" w:type="dxa"/><w:gridCol w:w="50" w:type="dxa"/><w:gridCol w:w="11250" w:type="dxa"/><w:gridCol w:w="50" w:type="dxa"/></w:tblGrid><w:tblPr><w:tblW w:w="0" w:type="pct"/><w:tblLayout w:type="autofit"/></w:tblPr><w:tr><w:trPr/><w:tc><w:tcPr><w:tcW w:w="46150" w:type="pct"/><w:noWrap/></w:tcPr><w:p><w:pPr/></w:p></w:tc><w:tc><w:tcPr><w:tcW w:w="42600" w:type="pct"/><w:noWrap/></w:tcPr><w:p><w:pPr/></w:p></w:tc><w:tc><w:tcPr><w:tcW w:w="50" w:type="pct"/><w:noWrap/></w:tcPr><w:p><w:pPr/></w:p></w:tc><w:tc><w:tcPr><w:tcW w:w="112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December 31, 2023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904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Cash disbursements and other adjustments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624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March 31,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tbl><w:tblGrid><w:gridCol w:w="10550" w:type="dxa"/><w:gridCol w:w="1700" w:type="dxa"/><w:gridCol w:w="50" w:type="dxa"/><w:gridCol w:w="42100" w:type="dxa"/><w:gridCol w:w="50" w:type="dxa"/><w:gridCol w:w="2900" w:type="dxa"/><w:gridCol w:w="50" w:type="dxa"/><w:gridCol w:w="42100" w:type="dxa"/><w:gridCol w:w="50" w:type="dxa"/><w:gridCol w:w="1700" w:type="dxa"/><w:gridCol w:w="50" w:type="dxa"/><w:gridCol w:w="42100" w:type="dxa"/><w:gridCol w:w="50" w:type="dxa"/></w:tblGrid><w:tblPr><w:tblW w:w="0" w:type="pct"/><w:tblLayout w:type="autofit"/></w:tblPr><w:tr><w:trPr/><w:tc><w:tcPr><w:tcW w:w="10550" w:type="pct"/><w:noWrap/></w:tcPr><w:p><w:pPr/></w:p></w:tc><w:tc><w:tcPr><w:tcW w:w="1700" w:type="pct"/><w:noWrap/></w:tcPr><w:p><w:pPr/></w:p></w:tc><w:tc><w:tcPr><w:tcW w:w="50" w:type="pct"/><w:noWrap/></w:tcPr><w:p><w:pPr/></w:p></w:tc><w:tc><w:tcPr><w:tcW w:w="42100" w:type="pct"/><w:noWrap/></w:tcPr><w:p><w:pPr/></w:p></w:tc><w:tc><w:tcPr><w:tcW w:w="50" w:type="pct"/><w:noWrap/></w:tcPr><w:p><w:pPr/></w:p></w:tc><w:tc><w:tcPr><w:tcW w:w="2900" w:type="pct"/><w:noWrap/></w:tcPr><w:p><w:pPr/></w:p></w:tc><w:tc><w:tcPr><w:tcW w:w="50" w:type="pct"/><w:noWrap/></w:tcPr><w:p><w:pPr/></w:p></w:tc><w:tc><w:tcPr><w:tcW w:w="42100" w:type="pct"/><w:noWrap/></w:tcPr><w:p><w:pPr/></w:p></w:tc><w:tc><w:tcPr><w:tcW w:w="50" w:type="pct"/><w:noWrap/></w:tcPr><w:p><w:pPr/></w:p></w:tc><w:tc><w:tcPr><w:tcW w:w="1700" w:type="pct"/><w:noWrap/></w:tcPr><w:p><w:pPr/></w:p></w:tc><w:tc><w:tcPr><w:tcW w:w="50" w:type="pct"/><w:noWrap/></w:tcPr><w:p><w:pPr/></w:p></w:tc><w:tc><w:tcPr><w:tcW w:w="4210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Employee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Other</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December 31, 2022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Arial" w:hAnsi="Arial" w:eastAsia="Arial" w:cs="Arial"/><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1,192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Expenses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1,817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1,908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Cash disbursements and other adjustments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1,740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Arial" w:hAnsi="Arial" w:eastAsia="Arial" w:cs="Arial"/><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273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2,013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Liability balance as of March 31, 2023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1,087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1,087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10. Debt Obligations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Debt obligations consisted of</w:t></w:r><w:r><w:rPr><w:rFonts w:ascii="Times New Roman" w:hAnsi="Times New Roman" w:eastAsia="Times New Roman" w:cs="Times New Roman"/><w:color w:val="000000"/><w:sz w:val="20"/><w:szCs w:val="20"/></w:rPr><w:t xml:space="preserve">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1600" w:type="dxa"/><w:gridCol w:w="16150" w:type="dxa"/><w:gridCol w:w="50" w:type="dxa"/><w:gridCol w:w="42550" w:type="dxa"/><w:gridCol w:w="50" w:type="dxa"/><w:gridCol w:w="16150" w:type="dxa"/><w:gridCol w:w="50" w:type="dxa"/><w:gridCol w:w="13450000000000100" w:type="dxa"/><w:gridCol w:w="50" w:type="dxa"/></w:tblGrid><w:tblPr><w:tblW w:w="0" w:type="pct"/><w:tblLayout w:type="autofit"/></w:tblPr><w:tr><w:trPr/><w:tc><w:tcPr><w:tcW w:w="11600" w:type="pct"/><w:noWrap/></w:tcPr><w:p><w:pPr/></w:p></w:tc><w:tc><w:tcPr><w:tcW w:w="16150" w:type="pct"/><w:noWrap/></w:tcPr><w:p><w:pPr/></w:p></w:tc><w:tc><w:tcPr><w:tcW w:w="50" w:type="pct"/><w:noWrap/></w:tcPr><w:p><w:pPr/></w:p></w:tc><w:tc><w:tcPr><w:tcW w:w="42550" w:type="pct"/><w:noWrap/></w:tcPr><w:p><w:pPr/></w:p></w:tc><w:tc><w:tcPr><w:tcW w:w="50" w:type="pct"/><w:noWrap/></w:tcPr><w:p><w:pPr/></w:p></w:tc><w:tc><w:tcPr><w:tcW w:w="16150" w:type="pct"/><w:noWrap/></w:tcPr><w:p><w:pPr/></w:p></w:tc><w:tc><w:tcPr><w:tcW w:w="50" w:type="pct"/><w:noWrap/></w:tcPr><w:p><w:pPr/></w:p></w:tc><w:tc><w:tcPr><w:tcW w:w="13450000000000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Revolving Facility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 loan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65,156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66,563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Less debt discount and debt issuance cost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296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332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 loan, net of debt discount and debt issuance cost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64,860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66,231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240" w:after="0"/></w:pPr><w:r><w:rPr><w:rFonts w:ascii="Times New Roman" w:hAnsi="Times New Roman" w:eastAsia="Times New Roman" w:cs="Times New Roman"/><w:color w:val="000000"/><w:sz w:val="20"/><w:szCs w:val="20"/></w:rPr><w:t xml:space="preserve">In August 2021, the Company, as borrower, its subsidiaries, as guarantors, and Silicon Valley Bank (</w:t></w:r><w:r><w:rPr><w:rFonts w:ascii="Times New Roman" w:hAnsi="Times New Roman" w:eastAsia="Times New Roman" w:cs="Times New Roman"/><w:color w:val="000000"/><w:sz w:val="20"/><w:szCs w:val="20"/></w:rPr><w:t xml:space="preserve">“SVB”),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(the “Term Loan Facility”) and a revolving credit facility not to exceed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(the “Revolving Facility” and, together with the Term Loan Facility, the “Facilities”). The Company’s obligations to the Lenders are secured by substantially all of the Company’s assets, including intellectual property. Capitalized terms used herein and not otherwise defined are defined as set forth in the 2021 Credit Agreement.</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Advances made under the 2021 Credit Agreement may be either SOFR Loans or ABR Loans, at the Company’s option. </w:t></w:r><w:r><w:rPr><w:rFonts w:ascii="Times New Roman" w:hAnsi="Times New Roman" w:eastAsia="Times New Roman" w:cs="Times New Roman"/><w:color w:val="000000"/><w:sz w:val="20"/><w:szCs w:val="20"/></w:rPr><w:t xml:space="preserve">For SOFR Loans, the interest rate is a per annum interest rate equal to the Adjusted Term SOFR plus an Applicable Margin between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3.25</w:t></w:r><w:r><w:rPr><w:rFonts w:ascii="Times New Roman" w:hAnsi="Times New Roman" w:eastAsia="Times New Roman" w:cs="Times New Roman"/><w:color w:val="000000"/><w:sz w:val="20"/><w:szCs w:val="20"/></w:rPr><w:t xml:space="preserve">% based on the Total Net Leverage Ratio. For ABR Loans, the interest rate is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w:t></w:r><w:r><w:rPr><w:rFonts w:ascii="Times New Roman" w:hAnsi="Times New Roman" w:eastAsia="Times New Roman" w:cs="Times New Roman"/><w:color w:val="000000"/><w:sz w:val="20"/><w:szCs w:val="20"/></w:rPr><w:t xml:space="preserve">1.00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based on the Total Net Leverage Ratio. On </w:t></w:r><w:r><w:rPr><w:rFonts w:ascii="Times New Roman" w:hAnsi="Times New Roman" w:eastAsia="Times New Roman" w:cs="Times New Roman"/><w:color w:val="000000"/><w:sz w:val="20"/><w:szCs w:val="20"/></w:rPr><w:t xml:space="preserve">March 31, 2024</w:t></w:r><w:r><w:rPr><w:rFonts w:ascii="Times New Roman" w:hAnsi="Times New Roman" w:eastAsia="Times New Roman" w:cs="Times New Roman"/><w:color w:val="000000"/><w:sz w:val="20"/><w:szCs w:val="20"/></w:rPr><w:t xml:space="preserve">, the applicable interest rate for outstanding borrowings is </w:t></w:r><w:r><w:rPr><w:rFonts w:ascii="Times New Roman" w:hAnsi="Times New Roman" w:eastAsia="Times New Roman" w:cs="Times New Roman"/><w:color w:val="000000"/><w:sz w:val="20"/><w:szCs w:val="20"/></w:rPr><w:t xml:space="preserve">7.64</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w:t></w:r></w:p><w:p><w:pPr><w:jc w:val="start"/><w:ind w:left="0" w:right="0" w:firstLine="0" w:hanging="0"/><w:spacing w:before="240" w:after="0"/></w:pPr><w:r><w:rPr><w:rFonts w:ascii="Times New Roman" w:hAnsi="Times New Roman" w:eastAsia="Times New Roman" w:cs="Times New Roman"/><w:color w:val="000000"/><w:sz w:val="20"/><w:szCs w:val="20"/></w:rPr><w:t xml:space="preserve">The 2021 Credit Agreement requires the Company to make consecutive quarterly installment payments equal to the following: (a) from September 30, 2021 through and including June 30, 2022, $</w:t></w:r><w:r><w:rPr><w:rFonts w:ascii="Times New Roman" w:hAnsi="Times New Roman" w:eastAsia="Times New Roman" w:cs="Times New Roman"/><w:color w:val="000000"/><w:sz w:val="20"/><w:szCs w:val="20"/></w:rPr><w:t xml:space="preserve">469</w:t></w:r><w:r><w:rPr><w:rFonts w:ascii="Times New Roman" w:hAnsi="Times New Roman" w:eastAsia="Times New Roman" w:cs="Times New Roman"/><w:color w:val="000000"/><w:sz w:val="20"/><w:szCs w:val="20"/></w:rPr><w:t xml:space="preserve">; (b) from September 30, 2022 through and including June 30, 2023, $</w:t></w:r><w:r><w:rPr><w:rFonts w:ascii="Times New Roman" w:hAnsi="Times New Roman" w:eastAsia="Times New Roman" w:cs="Times New Roman"/><w:color w:val="000000"/><w:sz w:val="20"/><w:szCs w:val="20"/></w:rPr><w:t xml:space="preserve">938</w:t></w:r><w:r><w:rPr><w:rFonts w:ascii="Times New Roman" w:hAnsi="Times New Roman" w:eastAsia="Times New Roman" w:cs="Times New Roman"/><w:color w:val="000000"/><w:sz w:val="20"/><w:szCs w:val="20"/></w:rPr><w:t xml:space="preserve">; (c) from September 30, 2023 through and including June 30, 2025, $</w:t></w:r><w:r><w:rPr><w:rFonts w:ascii="Times New Roman" w:hAnsi="Times New Roman" w:eastAsia="Times New Roman" w:cs="Times New Roman"/><w:color w:val="000000"/><w:sz w:val="20"/><w:szCs w:val="20"/></w:rPr><w:t xml:space="preserve">1,406</w:t></w:r><w:r><w:rPr><w:rFonts w:ascii="Times New Roman" w:hAnsi="Times New Roman" w:eastAsia="Times New Roman" w:cs="Times New Roman"/><w:color w:val="000000"/><w:sz w:val="20"/><w:szCs w:val="20"/></w:rPr><w:t xml:space="preserve"> and (d) from September 30, 2025 and the last day of each quarter thereafter until August 6, 2026 (the “Term Loan Maturity Date”), $</w:t></w:r><w:r><w:rPr><w:rFonts w:ascii="Times New Roman" w:hAnsi="Times New Roman" w:eastAsia="Times New Roman" w:cs="Times New Roman"/><w:color w:val="000000"/><w:sz w:val="20"/><w:szCs w:val="20"/></w:rPr><w:t xml:space="preserve">1,875</w:t></w:r><w:r><w:rPr><w:rFonts w:ascii="Times New Roman" w:hAnsi="Times New Roman" w:eastAsia="Times New Roman" w:cs="Times New Roman"/><w:color w:val="000000"/><w:sz w:val="20"/><w:szCs w:val="20"/></w:rPr><w:t xml:space="preserve">. The remaining principal balance of $</w:t></w:r><w:r><w:rPr><w:rFonts w:ascii="Times New Roman" w:hAnsi="Times New Roman" w:eastAsia="Times New Roman" w:cs="Times New Roman"/><w:color w:val="000000"/><w:sz w:val="20"/><w:szCs w:val="20"/></w:rPr><w:t xml:space="preserve">50,625</w:t></w:r><w:r><w:rPr><w:rFonts w:ascii="Times New Roman" w:hAnsi="Times New Roman" w:eastAsia="Times New Roman" w:cs="Times New Roman"/><w:color w:val="000000"/><w:sz w:val="20"/><w:szCs w:val="20"/></w:rPr><w:t xml:space="preserve"> is also due on the Term Loan Maturity Date. The Company may prepay the Term Loan Facility. Once repaid, amounts borrowed under the Term Loan Facility may not be re-borrowed.</w:t></w:r></w:p><w:p><w:pPr><w:jc w:val="start"/><w:ind w:left="0" w:right="0" w:firstLine="0" w:hanging="0"/><w:spacing w:before="240" w:after="0"/></w:pPr><w:r><w:rPr><w:rFonts w:ascii="Times New Roman" w:hAnsi="Times New Roman" w:eastAsia="Times New Roman" w:cs="Times New Roman"/><w:color w:val="000000"/><w:sz w:val="20"/><w:szCs w:val="20"/></w:rPr><w:t xml:space="preserve">The </w:t></w:r><w:r><w:rPr><w:rFonts w:ascii="Times New Roman" w:hAnsi="Times New Roman" w:eastAsia="Times New Roman" w:cs="Times New Roman"/><w:color w:val="000000"/><w:sz w:val="20"/><w:szCs w:val="20"/></w:rPr><w:t xml:space="preserve">Company must pay in arrears, on the first day of each quarter prior to August 6, 2026 (the “Revolving Termination Date”) and on the Revolving Termination Date, a fee for the Company’s non-use of available funds (the “Commitment Fee”). The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rPr><w:t xml:space="preserve">Commitment </w:t></w:r><w:r><w:rPr><w:rFonts w:ascii="Times New Roman" w:hAnsi="Times New Roman" w:eastAsia="Times New Roman" w:cs="Times New Roman"/><w:color w:val="000000"/><w:sz w:val="20"/><w:szCs w:val="20"/></w:rPr><w:t xml:space="preserve">Fee rate is between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0.45</w:t></w:r><w:r><w:rPr><w:rFonts w:ascii="Times New Roman" w:hAnsi="Times New Roman" w:eastAsia="Times New Roman" w:cs="Times New Roman"/><w:color w:val="000000"/><w:sz w:val="20"/><w:szCs w:val="2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240" w:after="0"/></w:pPr><w:r><w:rPr><w:rFonts w:ascii="Times New Roman" w:hAnsi="Times New Roman" w:eastAsia="Times New Roman" w:cs="Times New Roman"/><w:color w:val="000000"/><w:sz w:val="20"/><w:szCs w:val="20"/></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Times New Roman" w:hAnsi="Times New Roman" w:eastAsia="Times New Roman" w:cs="Times New Roman"/><w:color w:val="000000"/><w:sz w:val="20"/><w:szCs w:val="20"/></w:rPr><w:t xml:space="preserve">The C</w:t></w:r><w:r><w:rPr><w:rFonts w:ascii="Times New Roman" w:hAnsi="Times New Roman" w:eastAsia="Times New Roman" w:cs="Times New Roman"/><w:color w:val="000000"/><w:sz w:val="20"/><w:szCs w:val="20"/></w:rPr><w:t xml:space="preserve">ompany recorded debt issuance costs and related fees of $</w:t></w:r><w:r><w:rPr><w:rFonts w:ascii="Times New Roman" w:hAnsi="Times New Roman" w:eastAsia="Times New Roman" w:cs="Times New Roman"/><w:color w:val="000000"/><w:sz w:val="20"/><w:szCs w:val="20"/></w:rPr><w:t xml:space="preserve">604</w:t></w:r><w:r><w:rPr><w:rFonts w:ascii="Times New Roman" w:hAnsi="Times New Roman" w:eastAsia="Times New Roman" w:cs="Times New Roman"/><w:color w:val="000000"/><w:sz w:val="20"/><w:szCs w:val="20"/></w:rPr><w:t xml:space="preserve"> in connection with entering into the Term Loan Facility, which are recorded as a reduction of the carrying value of the term loan on the accompanying condensed consolidated balance sheets. In connection with entering into the Revolving Facility, the Company recorded debt issuance costs and related fees of $</w:t></w:r><w:r><w:rPr><w:rFonts w:ascii="Times New Roman" w:hAnsi="Times New Roman" w:eastAsia="Times New Roman" w:cs="Times New Roman"/><w:color w:val="000000"/><w:sz w:val="20"/><w:szCs w:val="20"/></w:rPr><w:t xml:space="preserve">1,223</w:t></w:r><w:r><w:rPr><w:rFonts w:ascii="Times New Roman" w:hAnsi="Times New Roman" w:eastAsia="Times New Roman" w:cs="Times New Roman"/><w:color w:val="000000"/><w:sz w:val="20"/><w:szCs w:val="20"/></w:rPr><w:t xml:space="preserve">, which are recorded as other assets. Both of these costs are being amortized to interest expense through the maturity date of the facilities.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March 31, 2024 and December 31, 2023, the Company had outstanding borrowings of $</w:t></w:r><w:r><w:rPr><w:rFonts w:ascii="Times New Roman" w:hAnsi="Times New Roman" w:eastAsia="Times New Roman" w:cs="Times New Roman"/><w:color w:val="000000"/><w:sz w:val="20"/><w:szCs w:val="20"/></w:rPr><w:t xml:space="preserve">65,156</w:t></w:r><w:r><w:rPr><w:rFonts w:ascii="Times New Roman" w:hAnsi="Times New Roman" w:eastAsia="Times New Roman" w:cs="Times New Roman"/><w:color w:val="000000"/><w:sz w:val="20"/><w:szCs w:val="20"/></w:rPr><w:t xml:space="preserve"> an</w:t></w:r><w:r><w:rPr><w:rFonts w:ascii="Times New Roman" w:hAnsi="Times New Roman" w:eastAsia="Times New Roman" w:cs="Times New Roman"/><w:color w:val="000000"/><w:sz w:val="20"/><w:szCs w:val="20"/></w:rPr><w:t xml:space="preserve">d $</w:t></w:r><w:r><w:rPr><w:rFonts w:ascii="Times New Roman" w:hAnsi="Times New Roman" w:eastAsia="Times New Roman" w:cs="Times New Roman"/><w:color w:val="000000"/><w:sz w:val="20"/><w:szCs w:val="20"/></w:rPr><w:t xml:space="preserve">66,563</w:t></w:r><w:r><w:rPr><w:rFonts w:ascii="Times New Roman" w:hAnsi="Times New Roman" w:eastAsia="Times New Roman" w:cs="Times New Roman"/><w:color w:val="000000"/><w:sz w:val="20"/><w:szCs w:val="20"/></w:rPr><w:t xml:space="preserve"> under the Term Loan Facility, respectively, and $</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under the Revolving Facility with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available for future revolving borrowings.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future </w:t></w:r><w:r><w:rPr><w:rFonts w:ascii="Times New Roman" w:hAnsi="Times New Roman" w:eastAsia="Times New Roman" w:cs="Times New Roman"/><w:color w:val="000000"/><w:sz w:val="20"/><w:szCs w:val="20"/></w:rPr><w:t xml:space="preserve">payments due under the Term Loan Facility as of </w:t></w:r><w:r><w:rPr><w:rFonts w:ascii="Times New Roman" w:hAnsi="Times New Roman" w:eastAsia="Times New Roman" w:cs="Times New Roman"/><w:color w:val="000000"/><w:sz w:val="20"/><w:szCs w:val="20"/></w:rPr><w:t xml:space="preserve">March 31, 2024, are as follows for the calendar years ending December 31: </w:t></w:r></w:p><w:p><w:pPr><w:jc w:val="start"/><w:spacing w:before="0" w:after="0"/></w:pPr><w:r><w:rPr><w:rFonts w:ascii="Times New Roman" w:hAnsi="Times New Roman" w:eastAsia="Times New Roman" w:cs="Times New Roman"/><w:sz w:val="24"/><w:szCs w:val="24"/></w:rPr><w:t xml:space="preserve"> </w:t></w:r></w:p><w:tbl><w:tblGrid><w:gridCol w:w="22200" w:type="dxa"/><w:gridCol w:w="400" w:type="dxa"/><w:gridCol w:w="50" w:type="dxa"/><w:gridCol w:w="37850" w:type="dxa"/><w:gridCol w:w="50" w:type="dxa"/></w:tblGrid><w:tblPr><w:tblW w:w="0" w:type="pct"/><w:tblLayout w:type="autofit"/></w:tblPr><w:tr><w:trPr/><w:tc><w:tcPr><w:tcW w:w="22200" w:type="pct"/><w:noWrap/></w:tcPr><w:p><w:pPr/></w:p></w:tc><w:tc><w:tcPr><w:tcW w:w="400" w:type="pct"/><w:noWrap/></w:tcPr><w:p><w:pPr/></w:p></w:tc><w:tc><w:tcPr><w:tcW w:w="50" w:type="pct"/><w:noWrap/></w:tcPr><w:p><w:pPr/></w:p></w:tc><w:tc><w:tcPr><w:tcW w:w="37850" w:type="pct"/><w:noWrap/></w:tcPr><w:p><w:pPr/></w:p></w:tc><w:tc><w:tcPr><w:tcW w:w="50" w:type="pct"/><w:noWrap/></w:tcPr><w:p><w:pP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2024 (remaining nine months)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4,218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2025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6,563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2026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54,375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65,156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11. Stockholders’ Equity and Stock-Based Compensation</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Common Stock</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March 31, 2024</w:t></w:r><w:r><w:rPr><w:rFonts w:ascii="Times New Roman" w:hAnsi="Times New Roman" w:eastAsia="Times New Roman" w:cs="Times New Roman"/><w:color w:val="000000"/><w:sz w:val="20"/><w:szCs w:val="20"/></w:rPr><w:t xml:space="preserve">, the issued shares of Class A common stock include </w:t></w:r><w:r><w:rPr><w:rFonts w:ascii="Times New Roman" w:hAnsi="Times New Roman" w:eastAsia="Times New Roman" w:cs="Times New Roman"/><w:color w:val="000000"/><w:sz w:val="20"/><w:szCs w:val="20"/></w:rPr><w:t xml:space="preserve">728,548</w:t></w:r><w:r><w:rPr><w:rFonts w:ascii="Times New Roman" w:hAnsi="Times New Roman" w:eastAsia="Times New Roman" w:cs="Times New Roman"/><w:color w:val="000000"/><w:sz w:val="20"/><w:szCs w:val="20"/></w:rPr><w:t xml:space="preserve"> treasury shares that were reacquired in connection with the redemption of redeemable shares in March 2019.</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 Incentive Plans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November 28, 2018, the Board of Directors of the Company adopted, and on December 10, 2018 the Company’s stockholders approved, the Organogenesis 2018 Equity Incentive Plan (the “2018 Plan”). At the adoption of the 2018 Plan, a total of </w:t></w:r><w:r><w:rPr><w:rFonts w:ascii="Times New Roman" w:hAnsi="Times New Roman" w:eastAsia="Times New Roman" w:cs="Times New Roman"/><w:color w:val="000000"/><w:sz w:val="20"/><w:szCs w:val="20"/></w:rPr><w:t xml:space="preserve">9,198,996</w:t></w:r><w:r><w:rPr><w:rFonts w:ascii="Times New Roman" w:hAnsi="Times New Roman" w:eastAsia="Times New Roman" w:cs="Times New Roman"/><w:color w:val="000000"/><w:sz w:val="20"/><w:szCs w:val="2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Times New Roman" w:hAnsi="Times New Roman" w:eastAsia="Times New Roman" w:cs="Times New Roman"/><w:color w:val="000000"/><w:sz w:val="20"/><w:szCs w:val="20"/></w:rPr><w:t xml:space="preserve">7,826,970</w:t></w:r><w:r><w:rPr><w:rFonts w:ascii="Times New Roman" w:hAnsi="Times New Roman" w:eastAsia="Times New Roman" w:cs="Times New Roman"/><w:color w:val="000000"/><w:sz w:val="20"/><w:szCs w:val="20"/></w:rPr><w:t xml:space="preserve"> shares.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Organogenesis 2003 Stock Incentive Plan (the “2003 Plan”), provided for the Company to issue restricted stock awards, or to grant incentive stock options or non-statutory stock options. Effective December 10, 2018, no additional awards may be made under the 2003 Plan.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rPr><w:t xml:space="preserve">Stock options awarded under the stock incentive plans expire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years after the grant date and typically vest over </w:t></w:r><w:r><w:rPr><w:rFonts w:ascii="Times New Roman" w:hAnsi="Times New Roman" w:eastAsia="Times New Roman" w:cs="Times New Roman"/><w:color w:val="000000"/><w:sz w:val="20"/><w:szCs w:val="20"/></w:rPr><w:t xml:space="preserve">four</w:t></w:r><w:r><w:rPr><w:rFonts w:ascii="Times New Roman" w:hAnsi="Times New Roman" w:eastAsia="Times New Roman" w:cs="Times New Roman"/><w:color w:val="000000"/><w:sz w:val="20"/><w:szCs w:val="20"/></w:rPr><w:t xml:space="preserve"> or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Restricted stock units awarded typically vest over four years.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Stock-based compensation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2,407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1,914</w:t></w:r><w:r><w:rPr><w:rFonts w:ascii="Times New Roman" w:hAnsi="Times New Roman" w:eastAsia="Times New Roman" w:cs="Times New Roman"/><w:color w:val="000000"/><w:sz w:val="20"/><w:szCs w:val="20"/></w:rPr><w:t xml:space="preserve"> for the three months ended March 31, 2024 and 2023, respectively. The total amount of stock-based compensation expense was included within selling, general and administrative expenses on the condensed consolidated statements of operations and comprehensive loss.</w:t></w:r></w:p><w:p><w:pPr><w:jc w:val="start"/><w:spacing w:before="240" w:after="0"/></w:pPr><w:r><w:rPr><w:rFonts w:ascii="Times New Roman" w:hAnsi="Times New Roman" w:eastAsia="Times New Roman" w:cs="Times New Roman"/><w:color w:val="000000"/><w:sz w:val="20"/><w:szCs w:val="20"/><w:b w:val="1"/><w:bCs w:val="1"/><w:i w:val="1"/><w:iCs w:val="1"/></w:rPr><w:t xml:space="preserve">Restricted Stock Units (RSUs)</w:t></w:r></w:p><w:p><w:pPr><w:jc w:val="start"/><w:ind w:left="0" w:right="0" w:firstLine="0" w:hanging="0"/><w:spacing w:before="120" w:after="0"/></w:pPr><w:r><w:rPr><w:rFonts w:ascii="Times New Roman" w:hAnsi="Times New Roman" w:eastAsia="Times New Roman" w:cs="Times New Roman"/><w:color w:val="000000"/><w:sz w:val="20"/><w:szCs w:val="20"/></w:rPr><w:t xml:space="preserve">The Company granted </w:t></w:r><w:r><w:rPr><w:rFonts w:ascii="Times New Roman" w:hAnsi="Times New Roman" w:eastAsia="Times New Roman" w:cs="Times New Roman"/><w:color w:val="000000"/><w:sz w:val="20"/><w:szCs w:val="20"/></w:rPr><w:t xml:space="preserve">1,766,615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3,192,372</w:t></w:r><w:r><w:rPr><w:rFonts w:ascii="Times New Roman" w:hAnsi="Times New Roman" w:eastAsia="Times New Roman" w:cs="Times New Roman"/><w:color w:val="000000"/><w:sz w:val="20"/><w:szCs w:val="20"/></w:rPr><w:t xml:space="preserve"> time-based restricted stock units to its employees, executives and members of the Board of Directors in the </w:t></w:r><w:r><w:rPr><w:rFonts w:ascii="Times New Roman" w:hAnsi="Times New Roman" w:eastAsia="Times New Roman" w:cs="Times New Roman"/><w:color w:val="000000"/><w:sz w:val="20"/><w:szCs w:val="20"/></w:rPr><w:t xml:space="preserve">three months ended March 31, 2024 and 2023, respectively. Each restricted stock unit represents the contingent right to receive one share of the Company’s Class A common stock. A majority of the restricted stock units will vest in four equal annual installments. The fair value of the restricted stock units was based on the fair market value of the Company’s stock on the date of grant.</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activity of restricted stock un</w:t></w:r><w:r><w:rPr><w:rFonts w:ascii="Times New Roman" w:hAnsi="Times New Roman" w:eastAsia="Times New Roman" w:cs="Times New Roman"/><w:color w:val="000000"/><w:sz w:val="20"/><w:szCs w:val="20"/></w:rPr><w:t xml:space="preserve">its is set forth below:</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 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of RSUs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gridSpan w:val="3"/><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3,898,331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1,766,615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3.43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1,376,737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15,474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5.52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March 31, 2024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4,272,735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As of March 31, 2024, the total unrecognized compensation cost related to unvested restricted stock units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10,968</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2.77</w:t></w:r><w:r><w:rPr><w:rFonts w:ascii="Times New Roman" w:hAnsi="Times New Roman" w:eastAsia="Times New Roman" w:cs="Times New Roman"/><w:color w:val="000000"/><w:sz w:val="20"/><w:szCs w:val="20"/></w:rPr><w:t xml:space="preserve"> years.</w:t></w:r></w:p><w:p><w:pPr><w:jc w:val="start"/><w:spacing w:before="360" w:after="120"/></w:pPr><w:r><w:rPr><w:rFonts w:ascii="Times New Roman" w:hAnsi="Times New Roman" w:eastAsia="Times New Roman" w:cs="Times New Roman"/><w:color w:val="000000"/><w:sz w:val="20"/><w:szCs w:val="20"/><w:b w:val="1"/><w:bCs w:val="1"/><w:i w:val="1"/><w:iCs w:val="1"/></w:rPr><w:t xml:space="preserve">Stock Options</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the Company’s stock option activity sin</w:t></w:r><w:r><w:rPr><w:rFonts w:ascii="Times New Roman" w:hAnsi="Times New Roman" w:eastAsia="Times New Roman" w:cs="Times New Roman"/><w:color w:val="000000"/><w:sz w:val="20"/><w:szCs w:val="20"/></w:rPr><w:t xml:space="preserve">ce December 31, 2023:</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400" w:type="dxa"/><w:gridCol w:w="50" w:type="dxa"/><w:gridCol w:w="50" w:type="dxa"/><w:gridCol w:w="3700" w:type="dxa"/><w:gridCol w:w="50" w:type="dxa"/><w:gridCol w:w="50" w:type="dxa"/><w:gridCol w:w="50" w:type="dxa"/><w:gridCol w:w="3900" w:type="dxa"/><w:gridCol w:w="50" w:type="dxa"/><w:gridCol w:w="50" w:type="dxa"/><w:gridCol w:w="50" w:type="dxa"/><w:gridCol w:w="3700" w:type="dxa"/><w:gridCol w:w="50" w:type="dxa"/><w:gridCol w:w="50" w:type="dxa"/><w:gridCol w:w="50" w:type="dxa"/><w:gridCol w:w="1300" w:type="dxa"/><w:gridCol w:w="50" w:type="dxa"/></w:tblGrid><w:tblPr><w:tblW w:w="0" w:type="pct"/><w:tblLayout w:type="autofit"/></w:tblPr><w:tr><w:trPr/><w:tc><w:tcPr><w:tcW w:w="240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3900" w:type="pct"/><w:noWrap/></w:tcPr><w:p><w:pPr/></w:p></w:tc><w:tc><w:tcPr><w:tcW w:w="5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1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Remaining</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Contractual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Aggregate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Exercise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Term</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Intrinsic</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Options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Price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 years)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Outstanding as of December 31, 2023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9,340,046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4.60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10,267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2,640,601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3.43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Exercised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152,250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21,738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5.85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Outstanding as of March 31,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11,806,659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4.38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3,359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Options exercisable as of March 31, 2024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5,258,648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4.92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5.18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2,487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vested or expected to vest as of March 31,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10,457,197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7.03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3,169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The stock options granted during the three months ended March 31, 2024 and 2023 were </w:t></w:r><w:r><w:rPr><w:rFonts w:ascii="Times New Roman" w:hAnsi="Times New Roman" w:eastAsia="Times New Roman" w:cs="Times New Roman"/><w:color w:val="000000"/><w:sz w:val="20"/><w:szCs w:val="20"/></w:rPr><w:t xml:space="preserve">2,640,601</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3,554,528</w:t></w:r><w:r><w:rPr><w:rFonts w:ascii="Times New Roman" w:hAnsi="Times New Roman" w:eastAsia="Times New Roman" w:cs="Times New Roman"/><w:color w:val="000000"/><w:sz w:val="20"/><w:szCs w:val="20"/></w:rPr><w:t xml:space="preserve">, respectively.</w:t></w:r></w:p><w:p><w:pPr><w:jc w:val="start"/><w:ind w:left="0" w:right="0" w:firstLine="0" w:hanging="0"/><w:spacing w:before="0" w:after="120"/></w:pPr><w:r><w:rPr><w:rFonts w:ascii="Times New Roman" w:hAnsi="Times New Roman" w:eastAsia="Times New Roman" w:cs="Times New Roman"/><w:color w:val="000000"/><w:sz w:val="20"/><w:szCs w:val="2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p><w:p><w:pPr><w:jc w:val="start"/><w:ind w:left="0" w:right="0" w:firstLine="0" w:hanging="0"/><w:spacing w:before="0" w:after="120"/></w:pPr><w:r><w:rPr><w:rFonts w:ascii="Times New Roman" w:hAnsi="Times New Roman" w:eastAsia="Times New Roman" w:cs="Times New Roman"/><w:color w:val="000000"/><w:sz w:val="20"/><w:szCs w:val="20"/></w:rPr><w:t xml:space="preserve">The weighted-average grant-date fair value per share of stock options granted during the three months ended March 31, 2024 and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1.32</w:t></w:r><w:r><w:rPr><w:rFonts w:ascii="Times New Roman" w:hAnsi="Times New Roman" w:eastAsia="Times New Roman" w:cs="Times New Roman"/><w:color w:val="000000"/><w:sz w:val="20"/><w:szCs w:val="20"/></w:rPr><w:t xml:space="preserve">, respectively. The total fair value of options vested during the three months ended March 31, 2024 and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3,669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2,653</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As of March 31, 2024, the total unrecognized stock compensation expense related to unvested stock options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9,218</w:t></w:r><w:r><w:rPr><w:rFonts w:ascii="Times New Roman" w:hAnsi="Times New Roman" w:eastAsia="Times New Roman" w:cs="Times New Roman"/><w:color w:val="000000"/><w:sz w:val="20"/><w:szCs w:val="20"/></w:rPr><w:t xml:space="preserve"> and was expected to be recognized over a weighted-average period of </w:t></w:r><w:r><w:rPr><w:rFonts w:ascii="Times New Roman" w:hAnsi="Times New Roman" w:eastAsia="Times New Roman" w:cs="Times New Roman"/><w:color w:val="000000"/><w:sz w:val="20"/><w:szCs w:val="20"/></w:rPr><w:t xml:space="preserve">2.84</w:t></w:r><w:r><w:rPr><w:rFonts w:ascii="Times New Roman" w:hAnsi="Times New Roman" w:eastAsia="Times New Roman" w:cs="Times New Roman"/><w:color w:val="000000"/><w:sz w:val="20"/><w:szCs w:val="20"/></w:rPr><w:t xml:space="preserve"> years.</w:t></w:r></w:p><w:p><w:pPr><w:jc w:val="start"/><w:spacing w:before="120" w:after="0"/></w:pPr><w:r><w:rPr><w:rFonts w:ascii="Times New Roman" w:hAnsi="Times New Roman" w:eastAsia="Times New Roman" w:cs="Times New Roman"/><w:color w:val="000000"/><w:sz w:val="20"/><w:szCs w:val="20"/><w:b w:val="1"/><w:bCs w:val="1"/></w:rPr><w:t xml:space="preserve">12</w:t></w:r><w:r><w:rPr><w:rFonts w:ascii="Times New Roman" w:hAnsi="Times New Roman" w:eastAsia="Times New Roman" w:cs="Times New Roman"/><w:color w:val="000000"/><w:sz w:val="20"/><w:szCs w:val="20"/><w:b w:val="1"/><w:bCs w:val="1"/></w:rPr><w:t xml:space="preserve">. Earnings per Share (EPS)</w:t></w:r></w:p><w:p><w:pPr><w:jc w:val="start"/><w:ind w:left="0" w:right="0" w:firstLine="0" w:hanging="0"/><w:spacing w:before="120" w:after="0"/></w:pPr><w:r><w:rPr><w:rFonts w:ascii="Times New Roman" w:hAnsi="Times New Roman" w:eastAsia="Times New Roman" w:cs="Times New Roman"/><w:color w:val="000000"/><w:sz w:val="20"/><w:szCs w:val="20"/></w:rPr><w:t xml:space="preserve">Basic EPS is calculated by dividing net income (loss) by the weighted-average number of shares outstanding during the period. Diluted EPS is calculated by dividing net income (loss) by the weighted-average number of shares outstanding plus the dilutive effect, if any, of outstanding equity awards using the treasury stock method which includes consideration of unrecognized compensation expenses as additional proceeds.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potentially dilutive securities include restricted stock units and stock options to purchase shares of Class A common stock. As the Company had a net loss in the periods presented, the potentially dilutive securities have been excluded from the computation of diluted net loss per share as the effect would be anti-dilutive. Therefore, the weighted-average number of common shares outstanding used to calculate both basic and diluted net loss per share attributable to common stockholders is the same for these periods. For the three months ended March 31, 2024 and 2023, the Company excluded </w:t></w:r><w:r><w:rPr><w:rFonts w:ascii="Times New Roman" w:hAnsi="Times New Roman" w:eastAsia="Times New Roman" w:cs="Times New Roman"/><w:color w:val="000000"/><w:sz w:val="20"/><w:szCs w:val="20"/></w:rPr><w:t xml:space="preserve">1,542,861</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800,395</w:t></w:r><w:r><w:rPr><w:rFonts w:ascii="Times New Roman" w:hAnsi="Times New Roman" w:eastAsia="Times New Roman" w:cs="Times New Roman"/><w:color w:val="000000"/><w:sz w:val="20"/><w:szCs w:val="20"/></w:rPr><w:t xml:space="preserve"> potential </w:t></w:r><w:r><w:rPr><w:rFonts w:ascii="Times New Roman" w:hAnsi="Times New Roman" w:eastAsia="Times New Roman" w:cs="Times New Roman"/><w:color w:val="000000"/><w:sz w:val="20"/><w:szCs w:val="20"/></w:rPr><w:t xml:space="preserve">shares of Class A common stock, respectively, presented based on the diluted effects of options and restricted stock units outstanding at each</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period </w:t></w:r><w:r><w:rPr><w:rFonts w:ascii="Times New Roman" w:hAnsi="Times New Roman" w:eastAsia="Times New Roman" w:cs="Times New Roman"/><w:color w:val="000000"/><w:sz w:val="20"/><w:szCs w:val="20"/></w:rPr><w:t xml:space="preserve">end, from the computation of diluted net loss per share attributable to the common stockholders for these periods.</w:t></w:r><w:r><w:rPr><w:rFonts w:ascii="Times New Roman" w:hAnsi="Times New Roman" w:eastAsia="Times New Roman" w:cs="Times New Roman"/><w:color w:val="000000"/><w:sz w:val="20"/><w:szCs w:val="20"/></w:rPr><w:t xml:space="preserve"> Basic and diluted net loss attributable to the Class A common stockholders was calculated as follows. </w:t></w:r></w:p><w:p><w:pPr><w:jc w:val="start"/><w:ind w:left="0" w:right="0" w:firstLine="0" w:hanging="0"/><w:spacing w:before="120" w:after="0"/></w:pPr><w:r><w:rPr><w:rFonts w:ascii="Times New Roman" w:hAnsi="Times New Roman" w:eastAsia="Times New Roman" w:cs="Times New Roman"/><w:sz w:val="20"/><w:szCs w:val="20"/></w:rPr><w:t xml:space="preserve"> </w:t></w:r></w:p><w:tbl><w:tblGrid><w:gridCol w:w="1100" w:type="dxa"/><w:gridCol w:w="250" w:type="dxa"/><w:gridCol w:w="50" w:type="dxa"/><w:gridCol w:w="4800" w:type="dxa"/><w:gridCol w:w="50" w:type="dxa"/><w:gridCol w:w="1800" w:type="dxa"/><w:gridCol w:w="50" w:type="dxa"/><w:gridCol w:w="4800" w:type="dxa"/><w:gridCol w:w="50" w:type="dxa"/></w:tblGrid><w:tblPr><w:tblW w:w="0" w:type="pct"/><w:tblLayout w:type="autofit"/></w:tblPr><w:tr><w:trPr/><w:tc><w:tcPr><w:tcW w:w="1100" w:type="pct"/><w:noWrap/></w:tcPr><w:p><w:pPr/></w:p></w:tc><w:tc><w:tcPr><w:tcW w:w="250" w:type="pct"/><w:noWrap/></w:tcPr><w:p><w:pPr/></w:p></w:tc><w:tc><w:tcPr><w:tcW w:w="50" w:type="pct"/><w:noWrap/></w:tcPr><w:p><w:pPr/></w:p></w:tc><w:tc><w:tcPr><w:tcW w:w="4800" w:type="pct"/><w:noWrap/></w:tcPr><w:p><w:pPr/></w:p></w:tc><w:tc><w:tcPr><w:tcW w:w="50" w:type="pct"/><w:noWrap/></w:tcPr><w:p><w:pPr/></w:p></w:tc><w:tc><w:tcPr><w:tcW w:w="1800" w:type="pct"/><w:noWrap/></w:tcPr><w:p><w:pPr/></w:p></w:tc><w:tc><w:tcPr><w:tcW w:w="50" w:type="pct"/><w:noWrap/></w:tcPr><w:p><w:pPr/></w:p></w:tc><w:tc><w:tcPr><w:tcW w:w="4800" w:type="pct"/><w:noWrap/></w:tcPr><w:p><w:pPr/></w:p></w:tc><w:tc><w:tcPr><w:tcW w:w="50" w:type="pct"/><w:noWrap/></w:tcPr><w:p><w:pP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Numerator: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2,100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2,969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Denominator: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Weighted-average common shares outstanding — basic and diluted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131,861,772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131,083,841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 per share—basic and 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0.02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0.02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13.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leases consist primarily of real estate, equipment and vehicle leases.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leases real estate for office, lab, warehouse and production space under noncancelable leases that expire at various dates through 2035, subject to the Company’s options to terminate or renew certain leases for an additional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ten years</w:t></w:r><w:r><w:rPr><w:rFonts w:ascii="Times New Roman" w:hAnsi="Times New Roman" w:eastAsia="Times New Roman" w:cs="Times New Roman"/><w:color w:val="000000"/><w:sz w:val="20"/><w:szCs w:val="20"/></w:rPr><w:t xml:space="preserve">. The Company leases vehicles under operating leases for certain employees and has fleet services agreements for service on these vehicles. The minimum lease term for each newly leased vehicle is </w:t></w:r><w:r><w:rPr><w:rFonts w:ascii="Times New Roman" w:hAnsi="Times New Roman" w:eastAsia="Times New Roman" w:cs="Times New Roman"/><w:color w:val="000000"/><w:sz w:val="20"/><w:szCs w:val="20"/></w:rPr><w:t xml:space="preserve">367</w:t></w:r><w:r><w:rPr><w:rFonts w:ascii="Times New Roman" w:hAnsi="Times New Roman" w:eastAsia="Times New Roman" w:cs="Times New Roman"/><w:color w:val="000000"/><w:sz w:val="20"/><w:szCs w:val="20"/></w:rPr><w:t xml:space="preserve"> days with renewal options. The Company may terminate the vehicle lease after the minimum lease term upon thirty days’ prior notice. The Company also leases other equipment under noncancelable leases that expire at various dates through 2026.</w:t></w:r></w:p><w:p><w:pPr><w:jc w:val="start"/><w:ind w:left="0" w:right="0" w:firstLine="0" w:hanging="0"/><w:spacing w:before="120" w:after="0"/></w:pPr><w:r><w:rPr><w:rFonts w:ascii="Times New Roman" w:hAnsi="Times New Roman" w:eastAsia="Times New Roman" w:cs="Times New Roman"/><w:color w:val="000000"/><w:sz w:val="20"/><w:szCs w:val="20"/></w:rPr><w:t xml:space="preserve">On January 1, 2013, the Company entered into finance lease arrangements with 65 Dan Road SPE, LLC, 85 Dan Road Associates, LLC, Dan Road Equity I, LLC and 275 Dan Road SPE, LLC for office and laboratory space in Canton, Massachusetts (the “Related-Party Leases”). 65 Dan Road SPE, LLC, 85 Dan Road Associates, LLC, Dan Road Equity I, LLC and 275 Dan Road SPE, LLC are related parties as the owners of these entities are also directors, former directors and / or stockholders of the Company.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August 2021, the Company purchased the building (the “275 Dan Road Building”)</w:t></w:r><w:r><w:rPr><w:rFonts w:ascii="Times New Roman" w:hAnsi="Times New Roman" w:eastAsia="Times New Roman" w:cs="Times New Roman"/><w:color w:val="000000"/><w:sz w:val="20"/><w:szCs w:val="20"/></w:rPr><w:t xml:space="preserve"> under the lease with 275 Dan Road SPE, LLC for $</w:t></w:r><w:r><w:rPr><w:rFonts w:ascii="Times New Roman" w:hAnsi="Times New Roman" w:eastAsia="Times New Roman" w:cs="Times New Roman"/><w:color w:val="000000"/><w:sz w:val="20"/><w:szCs w:val="20"/></w:rPr><w:t xml:space="preserve">6,013</w:t></w:r><w:r><w:rPr><w:rFonts w:ascii="Times New Roman" w:hAnsi="Times New Roman" w:eastAsia="Times New Roman" w:cs="Times New Roman"/><w:color w:val="000000"/><w:sz w:val="20"/><w:szCs w:val="20"/></w:rPr><w:t xml:space="preserve"> and the lease was terminated. The Company recorded an asset of $</w:t></w:r><w:r><w:rPr><w:rFonts w:ascii="Times New Roman" w:hAnsi="Times New Roman" w:eastAsia="Times New Roman" w:cs="Times New Roman"/><w:color w:val="000000"/><w:sz w:val="20"/><w:szCs w:val="20"/></w:rPr><w:t xml:space="preserve">4,943</w:t></w:r><w:r><w:rPr><w:rFonts w:ascii="Times New Roman" w:hAnsi="Times New Roman" w:eastAsia="Times New Roman" w:cs="Times New Roman"/><w:color w:val="000000"/><w:sz w:val="20"/><w:szCs w:val="20"/></w:rPr><w:t xml:space="preserve"> to buildings within property and equipment, net, to account for the purchase of the leased asset.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remaining three Related-Party Leases were set to terminate on December 31, 2022 and each contained a renewal option for a five-year period with a rental rate at the greater of (i) rent for the last year of the prior term, or (ii) the then fair market value. In November 2021, the Company exercised the option to extend the leases for an additional five years, and at such time, remeasured the right of use assets and lease liabilities based on its best estimate of the market rental rate in the renewal period and reassessed the classification for these leases. As a result, these leases were reclassified from finance leases to operating leases on the consolidated balance sheets as of December 31, 2021. In December 2022, the Company and the landlord finalized the market rental rate in the renewal period for these properties, resulting in an additional $</w:t></w:r><w:r><w:rPr><w:rFonts w:ascii="Times New Roman" w:hAnsi="Times New Roman" w:eastAsia="Times New Roman" w:cs="Times New Roman"/><w:color w:val="000000"/><w:sz w:val="20"/><w:szCs w:val="20"/></w:rPr><w:t xml:space="preserve">8,060</w:t></w:r><w:r><w:rPr><w:rFonts w:ascii="Times New Roman" w:hAnsi="Times New Roman" w:eastAsia="Times New Roman" w:cs="Times New Roman"/><w:color w:val="000000"/><w:sz w:val="20"/><w:szCs w:val="20"/></w:rPr><w:t xml:space="preserve"> to be recorded as variable lease expenses over the renewal period.</w:t></w:r></w:p><w:p><w:pPr><w:jc w:val="start"/><w:ind w:left="0" w:right="0" w:firstLine="0" w:hanging="0"/><w:spacing w:before="120" w:after="0"/></w:pPr><w:r><w:rPr><w:rFonts w:ascii="Times New Roman" w:hAnsi="Times New Roman" w:eastAsia="Times New Roman" w:cs="Times New Roman"/><w:color w:val="000000"/><w:sz w:val="20"/><w:szCs w:val="20"/></w:rPr><w:t xml:space="preserve">Effective April 1, 2019, the Company agreed to accrue interest on accrued but unpaid lease obligations owed for rent in arrears to the owners of the buildings subject to the Related-Party Leases, at an interest rate equal to the rate charged under the 2019 Credit Agreement. The remaining accrued but unpaid lease obligation with respect to the 275 Dan Road Building was paid in five quarterly installments through January 3, 2023, and accordingly at March 31, 2024 and December 31, 2023, there is no remaining balance or accrued interest associated with the 275 Dan Road Building. The accrued but unpaid lease obligations as well as the related accrued interest with respect to the remaining three Related-Party Leases are shown below:</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2200" w:type="dxa"/><w:gridCol w:w="50" w:type="dxa"/><w:gridCol w:w="50" w:type="dxa"/><w:gridCol w:w="1400" w:type="dxa"/><w:gridCol w:w="50" w:type="dxa"/><w:gridCol w:w="50" w:type="dxa"/><w:gridCol w:w="50" w:type="dxa"/><w:gridCol w:w="1400" w:type="dxa"/><w:gridCol w:w="50" w:type="dxa"/></w:tblGrid><w:tblPr><w:tblW w:w="0" w:type="pct"/><w:tblLayout w:type="autofit"/></w:tblPr><w:tr><w:trPr/><w:tc><w:tcPr><w:tcW w:w="2200" w:type="pct"/><w:noWrap/></w:tcPr><w:p><w:pPr/></w:p></w:tc><w:tc><w:tcPr><w:tcW w:w="50" w:type="pct"/><w:noWrap/></w:tcPr><w:p><w:pPr/></w:p></w:tc><w:tc><w:tcPr><w:tcW w:w="50" w:type="pct"/><w:noWrap/></w:tcPr><w:p><w:pPr/></w:p></w:tc><w:tc><w:tcPr><w:tcW w:w="1400" w:type="pct"/><w:noWrap/></w:tcPr><w:p><w:pPr/></w:p></w:tc><w:tc><w:tcPr><w:tcW w:w="50" w:type="pct"/><w:noWrap/></w:tcPr><w:p><w:pPr/></w:p></w:tc><w:tc><w:tcPr><w:tcW w:w="50" w:type="pct"/><w:noWrap/></w:tcPr><w:p><w:pPr/></w:p></w:tc><w:tc><w:tcPr><w:tcW w:w="50" w:type="pct"/><w:noWrap/></w:tcPr><w:p><w:pPr/></w:p></w:tc><w:tc><w:tcPr><w:tcW w:w="140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Principal portion of rent in arrears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5,273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5,273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interest on accrued but unpaid lease obligations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2,448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accrued but unpaid lease obligations owed for rent in arrears on the three remaining Related-Party Leases was included in current portion of operating lease obligations on the condensed consolidated balance sheets, as of March 31, 2024 and December 31, 2023. The accrued interest on the accrued but unpaid lease obligations was included in accrued expenses and other current liabilities on the condensed consolidated balance sheets as of March 31, 2024 and December 31, 2023.</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components of lease co</w:t></w:r><w:r><w:rPr><w:rFonts w:ascii="Times New Roman" w:hAnsi="Times New Roman" w:eastAsia="Times New Roman" w:cs="Times New Roman"/><w:color w:val="000000"/><w:sz w:val="20"/><w:szCs w:val="20"/></w:rPr><w:t xml:space="preserve">st were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23950" w:type="dxa"/><w:gridCol w:w="10800" w:type="dxa"/><w:gridCol w:w="33550" w:type="dxa"/><w:gridCol w:w="10800" w:type="dxa"/><w:gridCol w:w="50" w:type="dxa"/><w:gridCol w:w="33550" w:type="dxa"/><w:gridCol w:w="50" w:type="dxa"/><w:gridCol w:w="10800" w:type="dxa"/><w:gridCol w:w="50" w:type="dxa"/><w:gridCol w:w="26550" w:type="dxa"/><w:gridCol w:w="50" w:type="dxa"/></w:tblGrid><w:tblPr><w:tblW w:w="0" w:type="pct"/><w:tblLayout w:type="autofit"/></w:tblPr><w:tr><w:trPr/><w:tc><w:tcPr><w:tcW w:w="23950" w:type="pct"/><w:noWrap/></w:tcPr><w:p><w:pPr/></w:p></w:tc><w:tc><w:tcPr><w:tcW w:w="10800" w:type="pct"/><w:noWrap/></w:tcPr><w:p><w:pPr/></w:p></w:tc><w:tc><w:tcPr><w:tcW w:w="33550" w:type="pct"/><w:noWrap/></w:tcPr><w:p><w:pPr/></w:p></w:tc><w:tc><w:tcPr><w:tcW w:w="10800" w:type="pct"/><w:noWrap/></w:tcPr><w:p><w:pPr/></w:p></w:tc><w:tc><w:tcPr><w:tcW w:w="50" w:type="pct"/><w:noWrap/></w:tcPr><w:p><w:pPr/></w:p></w:tc><w:tc><w:tcPr><w:tcW w:w="33550" w:type="pct"/><w:noWrap/></w:tcPr><w:p><w:pPr/></w:p></w:tc><w:tc><w:tcPr><w:tcW w:w="50" w:type="pct"/><w:noWrap/></w:tcPr><w:p><w:pPr/></w:p></w:tc><w:tc><w:tcPr><w:tcW w:w="10800" w:type="pct"/><w:noWrap/></w:tcPr><w:p><w:pPr/></w:p></w:tc><w:tc><w:tcPr><w:tcW w:w="50" w:type="pct"/><w:noWrap/></w:tcPr><w:p><w:pPr/></w:p></w:tc><w:tc><w:tcPr><w:tcW w:w="26550" w:type="pct"/><w:noWrap/></w:tcPr><w:p><w:pPr/></w:p></w:tc><w:tc><w:tcPr><w:tcW w:w="50" w:type="pct"/><w:noWrap/></w:tcPr><w:p><w:pPr/></w:p></w:tc></w:tr><w:tr><w:trPr><w:trHeight w:val="200" w:hRule="exact"/></w:trPr><w:tc><w:tcPr><w:tcW w:w="0" w:type="pct"/><w:vAlign w:val="top"/><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Classification</w:t></w:r></w:p></w:tc><w:tc><w:tcPr><w:tcW w:w="0" w:type="pct"/><w:vAlign w:val="top"/><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Finance lease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Amortization of right-of-use assets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COGS and SG&A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288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Interest on lease liabilities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Interest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Total finance lease cost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345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Operating lease cost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COGS, R&D, SG&A</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2,203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2,291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Short-term lease cost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COGS, R&D, SG&A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758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Variable lease cost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COGS, R&D, SG&A</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1,126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1,794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lease cost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4,335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4,843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Supplemental balance sheet information related to finance l</w:t></w:r><w:r><w:rPr><w:rFonts w:ascii="Times New Roman" w:hAnsi="Times New Roman" w:eastAsia="Times New Roman" w:cs="Times New Roman"/><w:color w:val="000000"/><w:sz w:val="20"/><w:szCs w:val="20"/></w:rPr><w:t xml:space="preserve">eases was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300" w:type="dxa"/><w:gridCol w:w="50" w:type="dxa"/><w:gridCol w:w="4200" w:type="dxa"/><w:gridCol w:w="50" w:type="dxa"/><w:gridCol w:w="2300" w:type="dxa"/><w:gridCol w:w="50" w:type="dxa"/><w:gridCol w:w="4200" w:type="dxa"/><w:gridCol w:w="50" w:type="dxa"/></w:tblGrid><w:tblPr><w:tblW w:w="0" w:type="pct"/><w:tblLayout w:type="autofit"/></w:tblPr><w:tr><w:trPr/><w:tc><w:tcPr><w:tcW w:w="200" w:type="pct"/><w:noWrap/></w:tcPr><w:p><w:pPr/></w:p></w:tc><w:tc><w:tcPr><w:tcW w:w="2300" w:type="pct"/><w:noWrap/></w:tcPr><w:p><w:pPr/></w:p></w:tc><w:tc><w:tcPr><w:tcW w:w="50" w:type="pct"/><w:noWrap/></w:tcPr><w:p><w:pPr/></w:p></w:tc><w:tc><w:tcPr><w:tcW w:w="4200" w:type="pct"/><w:noWrap/></w:tcPr><w:p><w:pPr/></w:p></w:tc><w:tc><w:tcPr><w:tcW w:w="50" w:type="pct"/><w:noWrap/></w:tcPr><w:p><w:pPr/></w:p></w:tc><w:tc><w:tcPr><w:tcW w:w="2300" w:type="pct"/><w:noWrap/></w:tcPr><w:p><w:pPr/></w:p></w:tc><w:tc><w:tcPr><w:tcW w:w="50" w:type="pct"/><w:noWrap/></w:tcPr><w:p><w:pPr/></w:p></w:tc><w:tc><w:tcPr><w:tcW w:w="420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 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 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Property and equipment, gross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Accumulated depreciation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767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479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Property and equipment, net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2,687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2,975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Supplemental cash flow information related t</w:t></w:r><w:r><w:rPr><w:rFonts w:ascii="Times New Roman" w:hAnsi="Times New Roman" w:eastAsia="Times New Roman" w:cs="Times New Roman"/><w:color w:val="000000"/><w:sz w:val="20"/><w:szCs w:val="20"/></w:rPr><w:t xml:space="preserve">o leases was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300" w:type="dxa"/><w:gridCol w:w="50" w:type="dxa"/><w:gridCol w:w="4200" w:type="dxa"/><w:gridCol w:w="50" w:type="dxa"/><w:gridCol w:w="2300" w:type="dxa"/><w:gridCol w:w="50" w:type="dxa"/><w:gridCol w:w="4200" w:type="dxa"/><w:gridCol w:w="50" w:type="dxa"/></w:tblGrid><w:tblPr><w:tblW w:w="0" w:type="pct"/><w:tblLayout w:type="autofit"/></w:tblPr><w:tr><w:trPr/><w:tc><w:tcPr><w:tcW w:w="200" w:type="pct"/><w:noWrap/></w:tcPr><w:p><w:pPr/></w:p></w:tc><w:tc><w:tcPr><w:tcW w:w="2300" w:type="pct"/><w:noWrap/></w:tcPr><w:p><w:pPr/></w:p></w:tc><w:tc><w:tcPr><w:tcW w:w="50" w:type="pct"/><w:noWrap/></w:tcPr><w:p><w:pPr/></w:p></w:tc><w:tc><w:tcPr><w:tcW w:w="4200" w:type="pct"/><w:noWrap/></w:tcPr><w:p><w:pPr/></w:p></w:tc><w:tc><w:tcPr><w:tcW w:w="50" w:type="pct"/><w:noWrap/></w:tcPr><w:p><w:pPr/></w:p></w:tc><w:tc><w:tcPr><w:tcW w:w="2300" w:type="pct"/><w:noWrap/></w:tcPr><w:p><w:pPr/></w:p></w:tc><w:tc><w:tcPr><w:tcW w:w="50" w:type="pct"/><w:noWrap/></w:tcPr><w:p><w:pPr/></w:p></w:tc><w:tc><w:tcPr><w:tcW w:w="4200" w:type="pct"/><w:noWrap/></w:tcPr><w:p><w:pPr/></w:p></w:tc><w:tc><w:tcPr><w:tcW w:w="50" w:type="pct"/><w:noWrap/></w:tcPr><w:p><w:pPr/></w:p></w:tc></w:tr><w:tr><w:trPr><w:trHeight w:val="200" w:hRule="exact"/></w:trPr><w:tc><w:tcPr><w:tcW w:w="0" w:type="pct"/><w:vAlign w:val="top"/><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top"/><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top"/><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Cash paid for amounts included in the measurement of lease liabilities: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Operating cash flows for operating leases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2,715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2,468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Operating cash flows for finance leases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Financing cash flows for finance leases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tbl><w:tblGrid><w:gridCol w:w="15050" w:type="dxa"/><w:gridCol w:w="21450" w:type="dxa"/><w:gridCol w:w="50" w:type="dxa"/><w:gridCol w:w="28849999999999900" w:type="dxa"/><w:gridCol w:w="50" w:type="dxa"/><w:gridCol w:w="21450" w:type="dxa"/><w:gridCol w:w="50" w:type="dxa"/><w:gridCol w:w="13250" w:type="dxa"/><w:gridCol w:w="50" w:type="dxa"/></w:tblGrid><w:tblPr><w:tblW w:w="0" w:type="pct"/><w:tblLayout w:type="autofit"/></w:tblPr><w:tr><w:trPr/><w:tc><w:tcPr><w:tcW w:w="15050" w:type="pct"/><w:noWrap/></w:tcPr><w:p><w:pPr/></w:p></w:tc><w:tc><w:tcPr><w:tcW w:w="21450" w:type="pct"/><w:noWrap/></w:tcPr><w:p><w:pPr/></w:p></w:tc><w:tc><w:tcPr><w:tcW w:w="50" w:type="pct"/><w:noWrap/></w:tcPr><w:p><w:pPr/></w:p></w:tc><w:tc><w:tcPr><w:tcW w:w="28849999999999900" w:type="pct"/><w:noWrap/></w:tcPr><w:p><w:pPr/></w:p></w:tc><w:tc><w:tcPr><w:tcW w:w="50" w:type="pct"/><w:noWrap/></w:tcPr><w:p><w:pPr/></w:p></w:tc><w:tc><w:tcPr><w:tcW w:w="21450" w:type="pct"/><w:noWrap/></w:tcPr><w:p><w:pPr/></w:p></w:tc><w:tc><w:tcPr><w:tcW w:w="50" w:type="pct"/><w:noWrap/></w:tcPr><w:p><w:pPr/></w:p></w:tc><w:tc><w:tcPr><w:tcW w:w="132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 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 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Weighted-average remaining lease term</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Finance leases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Operating leases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6.49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March 31, 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 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Weighted-average discount rate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Finance leases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7.91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7.91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Operating leases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4.75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4.71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As of </w:t></w:r><w:r><w:rPr><w:rFonts w:ascii="Times New Roman" w:hAnsi="Times New Roman" w:eastAsia="Times New Roman" w:cs="Times New Roman"/><w:color w:val="000000"/><w:sz w:val="20"/><w:szCs w:val="20"/></w:rPr><w:t xml:space="preserve">March 31, 2024, maturities of lease liabilities were as follows:</w:t></w:r></w:p><w:p><w:pPr><w:jc w:val="start"/><w:spacing w:before="0" w:after="0"/></w:pPr><w:r><w:rPr><w:rFonts w:ascii="Times New Roman" w:hAnsi="Times New Roman" w:eastAsia="Times New Roman" w:cs="Times New Roman"/><w:sz w:val="24"/><w:szCs w:val="24"/></w:rPr><w:t xml:space="preserve"> </w:t></w:r></w:p><w:tbl><w:tblGrid><w:gridCol w:w="22350" w:type="dxa"/><w:gridCol w:w="2300" w:type="dxa"/><w:gridCol w:w="50" w:type="dxa"/><w:gridCol w:w="40850" w:type="dxa"/><w:gridCol w:w="50" w:type="dxa"/><w:gridCol w:w="2300" w:type="dxa"/><w:gridCol w:w="50" w:type="dxa"/><w:gridCol w:w="40850" w:type="dxa"/><w:gridCol w:w="50" w:type="dxa"/></w:tblGrid><w:tblPr><w:tblW w:w="0" w:type="pct"/><w:tblLayout w:type="autofit"/></w:tblPr><w:tr><w:trPr/><w:tc><w:tcPr><w:tcW w:w="22350" w:type="pct"/><w:noWrap/></w:tcPr><w:p><w:pPr/></w:p></w:tc><w:tc><w:tcPr><w:tcW w:w="2300" w:type="pct"/><w:noWrap/></w:tcPr><w:p><w:pPr/></w:p></w:tc><w:tc><w:tcPr><w:tcW w:w="50" w:type="pct"/><w:noWrap/></w:tcPr><w:p><w:pPr/></w:p></w:tc><w:tc><w:tcPr><w:tcW w:w="40850" w:type="pct"/><w:noWrap/></w:tcPr><w:p><w:pPr/></w:p></w:tc><w:tc><w:tcPr><w:tcW w:w="50" w:type="pct"/><w:noWrap/></w:tcPr><w:p><w:pPr/></w:p></w:tc><w:tc><w:tcPr><w:tcW w:w="2300" w:type="pct"/><w:noWrap/></w:tcPr><w:p><w:pPr/></w:p></w:tc><w:tc><w:tcPr><w:tcW w:w="50" w:type="pct"/><w:noWrap/></w:tcPr><w:p><w:pPr/></w:p></w:tc><w:tc><w:tcPr><w:tcW w:w="408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Operating leases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Finance leases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2024 (remaining nine months)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7,580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2025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8,819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1,278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2026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7,657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2027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8,119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2028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3,580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Thereafter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15,108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lease payments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50,863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2,974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interest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7,483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267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lease liabilities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43,380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2,707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14. Commitments and Contingencies</w:t></w:r></w:p><w:p><w:pPr><w:jc w:val="start"/><w:spacing w:before="120" w:after="0"/></w:pPr><w:r><w:rPr><w:rFonts w:ascii="Times New Roman" w:hAnsi="Times New Roman" w:eastAsia="Times New Roman" w:cs="Times New Roman"/><w:color w:val="000000"/><w:sz w:val="20"/><w:szCs w:val="20"/><w:b w:val="1"/><w:bCs w:val="1"/><w:i w:val="1"/><w:iCs w:val="1"/></w:rPr><w:t xml:space="preserve">License and Manufacturing Agreement</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Company entered into a trademark license and manufacturing agreement with Vivex Biologics, Inc. (“Vivex”) to sell its CYGNUS Dual (“Dual”) and CYGNUS Matrix (“Matrix") products, with the option to license the VIA Matrix (“VIA”) products.</w:t></w:r></w:p><w:p><w:pPr><w:jc w:val="start"/><w:ind w:left="0" w:right="0" w:firstLine="0" w:hanging="0"/><w:spacing w:before="120" w:after="0"/></w:pPr><w:r><w:rPr><w:rFonts w:ascii="Times New Roman" w:hAnsi="Times New Roman" w:eastAsia="Times New Roman" w:cs="Times New Roman"/><w:color w:val="000000"/><w:sz w:val="20"/><w:szCs w:val="20"/></w:rPr><w:t xml:space="preserve">The Company paid an upfront licensing fee to Vivex to sell Dual and Matrix, and also agreed to pay a fixed milestone payment for Dual in the event that its average sales price (“ASP”) is published by certain government agencies for a specified period of time. In addition, the Company is required to pay a low double digit royalty and a high single-digit royalty on the Net Sales of Dual and Matrix, respectively, during the royalty term, as defined in the agreement with Vivex. The royalty term is commensurate with the initial term of the contract and will continue for each subsequent renewal period. The initial term of the agreement expires on </w:t></w:r><w:r><w:rPr><w:rFonts w:ascii="Times New Roman" w:hAnsi="Times New Roman" w:eastAsia="Times New Roman" w:cs="Times New Roman"/><w:color w:val="000000"/><w:sz w:val="20"/><w:szCs w:val="20"/></w:rPr><w:t xml:space="preserve">December 31, 2026</w:t></w:r><w:r><w:rPr><w:rFonts w:ascii="Times New Roman" w:hAnsi="Times New Roman" w:eastAsia="Times New Roman" w:cs="Times New Roman"/><w:color w:val="000000"/><w:sz w:val="20"/><w:szCs w:val="20"/></w:rPr><w:t xml:space="preserve"> and can be renewed for up to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additional </w:t></w:r><w:r><w:rPr><w:rFonts w:ascii="Times New Roman" w:hAnsi="Times New Roman" w:eastAsia="Times New Roman" w:cs="Times New Roman"/><w:color w:val="000000"/><w:sz w:val="20"/><w:szCs w:val="20"/></w:rPr><w:t xml:space="preserve">one-year</w:t></w:r><w:r><w:rPr><w:rFonts w:ascii="Times New Roman" w:hAnsi="Times New Roman" w:eastAsia="Times New Roman" w:cs="Times New Roman"/><w:color w:val="000000"/><w:sz w:val="20"/><w:szCs w:val="20"/></w:rPr><w:t xml:space="preserve"> terms.</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in prepaid and other current assets and other assets for the payment of the upfront licensing fee, which is recognized as expense on a straight-line basis over the estimated life of the arrangement, which the Company determined to be </w:t></w:r><w:r><w:rPr><w:rFonts w:ascii="Times New Roman" w:hAnsi="Times New Roman" w:eastAsia="Times New Roman" w:cs="Times New Roman"/><w:color w:val="000000"/><w:sz w:val="20"/><w:szCs w:val="20"/></w:rPr><w:t xml:space="preserve">three years</w:t></w:r><w:r><w:rPr><w:rFonts w:ascii="Times New Roman" w:hAnsi="Times New Roman" w:eastAsia="Times New Roman" w:cs="Times New Roman"/><w:color w:val="000000"/><w:sz w:val="20"/><w:szCs w:val="20"/></w:rPr><w:t xml:space="preserve">, commensurate with the initial term of the contract. In December 2023, the Company recorded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in prepaid and other current assets, other assets, and accrued expenses and other current liabilities for the milestone payment, as the Company determined it is probable of owing such payment to Vivex.  In March 2024, the Company exercised the option to license VIA, and as such, as of March 31, 2024, the option payment of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is included in accrued expenses and other current liabilities on the condensed consolidated balance sheets.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total royalty expense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4,947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1,440</w:t></w:r><w:r><w:rPr><w:rFonts w:ascii="Times New Roman" w:hAnsi="Times New Roman" w:eastAsia="Times New Roman" w:cs="Times New Roman"/><w:color w:val="000000"/><w:sz w:val="20"/><w:szCs w:val="20"/></w:rPr><w:t xml:space="preserve"> during the </w:t></w:r><w:r><w:rPr><w:rFonts w:ascii="Times New Roman" w:hAnsi="Times New Roman" w:eastAsia="Times New Roman" w:cs="Times New Roman"/><w:color w:val="000000"/><w:sz w:val="20"/><w:szCs w:val="20"/></w:rPr><w:t xml:space="preserve">three months ended March 31, 2024 and 2023, respectively, within selling, general and administrative expenses on the condensed consolidated statements of operations and comprehensive loss.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rPr><w:t xml:space="preserve">15.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Lease obligations to affiliates, including accrued but unpaid lease obligations, purchase of an asset under a finance lease with an affiliate, and renewal of leases with affiliates are further described in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start"/><w:spacing w:before="120" w:after="0"/></w:pPr><w:r><w:rPr><w:rFonts w:ascii="Times New Roman" w:hAnsi="Times New Roman" w:eastAsia="Times New Roman" w:cs="Times New Roman"/><w:color w:val="000000"/><w:sz w:val="20"/><w:szCs w:val="20"/><w:b w:val="1"/><w:bCs w:val="1"/></w:rPr><w:t xml:space="preserve">16. Taxes</w:t></w:r></w:p><w:p><w:pPr><w:jc w:val="center"/><w:spacing w:before="240" w:after="0"/></w:pPr><w:r><w:rPr><w:rFonts w:ascii="Times New Roman" w:hAnsi="Times New Roman" w:eastAsia="Times New Roman" w:cs="Times New Roman"/><w:color w:val="000000"/><w:sz w:val="20"/><w:szCs w:val="20"/></w:rPr><w:t xml:space="preserve">17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is principally subject to taxation in the United States. The Company has a history of net operating losses both federally and in various states and began utilizing those losses to offset current taxable income in 2020. As net operating loss carryovers become limited or are fully utilized, the Company will accrue current federal and state income tax expense. The Company’s wholly 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income tax rate for the three months ended March 31, 2024</w:t></w:r><w:r><w:rPr><w:rFonts w:ascii="Times New Roman" w:hAnsi="Times New Roman" w:eastAsia="Times New Roman" w:cs="Times New Roman"/><w:color w:val="000000"/><w:sz w:val="20"/><w:szCs w:val="20"/></w:rPr><w:t xml:space="preserve"> was </w:t></w:r><w:r><w:rPr><w:rFonts w:ascii="Times New Roman" w:hAnsi="Times New Roman" w:eastAsia="Times New Roman" w:cs="Times New Roman"/><w:color w:val="000000"/><w:sz w:val="20"/><w:szCs w:val="20"/></w:rPr><w:t xml:space="preserve">51.1</w:t></w:r><w:r><w:rPr><w:rFonts w:ascii="Times New Roman" w:hAnsi="Times New Roman" w:eastAsia="Times New Roman" w:cs="Times New Roman"/><w:color w:val="000000"/><w:sz w:val="20"/><w:szCs w:val="20"/></w:rPr><w:t xml:space="preserve">%, an increase from the U.S. statutory rate of </w:t></w:r><w:r><w:rPr><w:rFonts w:ascii="Times New Roman" w:hAnsi="Times New Roman" w:eastAsia="Times New Roman" w:cs="Times New Roman"/><w:color w:val="000000"/><w:sz w:val="20"/><w:szCs w:val="20"/></w:rPr><w:t xml:space="preserve">21</w:t></w:r><w:r><w:rPr><w:rFonts w:ascii="Times New Roman" w:hAnsi="Times New Roman" w:eastAsia="Times New Roman" w:cs="Times New Roman"/><w:color w:val="000000"/><w:sz w:val="20"/><w:szCs w:val="20"/></w:rPr><w:t xml:space="preserve">% primarily due to the tax adjustments related to executive compensation, and other nondeductible expenses. </w:t></w:r><w:r><w:rPr><w:rFonts w:ascii="Times New Roman" w:hAnsi="Times New Roman" w:eastAsia="Times New Roman" w:cs="Times New Roman"/><w:color w:val="000000"/><w:sz w:val="20"/><w:szCs w:val="20"/></w:rPr><w:t xml:space="preserve">The income tax benefit for the three months ended March 31, 2024 and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2,243</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1,658</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2023, filed with the SEC, on February 29, 2024.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i w:val="1"/><w:iCs w:val="1"/></w:rPr><w:t xml:space="preserve"> </w:t></w:r></w:p><w:p><w:pPr><w:jc w:val="start"/><w:spacing w:before="36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and cardiovascular and peripheral vascular disease. We offer our differentiated products and in-house customer support to a wide range of health care customers including hospitals, wound care centers, government facilities, ambulatory surgery centers (ASCs) and physician offices. Our mission is to provide integrated healing solutions that substantially improve medical outcomes and the lives of patients while lowering the overall cost of care.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and distribution currently suspended pending transition to a new manufacturing facility or engagement of a third-party manufacturer); PuraPly AM and PuraPly XT as antimicrobial barriers and native, cross-linked ECM scaffolds for a broad variety of wound types; and Affinity, Novachor, NuShield, and CYGNUS placental allografts to address a variety of wound sizes and types as a protective barrier and ECM scaffold. We have a highly trained and specialized direct wound care sales force paired with comprehensive customer support services.</w:t></w:r></w:p><w:p><w:pPr><w:jc w:val="start"/><w:ind w:left="0" w:right="0" w:firstLine="0" w:hanging="0"/><w:spacing w:before="120" w:after="0"/></w:pPr><w:r><w:rPr><w:rFonts w:ascii="Times New Roman" w:hAnsi="Times New Roman" w:eastAsia="Times New Roman" w:cs="Times New Roman"/><w:color w:val="000000"/><w:sz w:val="20"/><w:szCs w:val="20"/></w:rPr><w:t xml:space="preserve">In the Surgical & Sports Medicine market, we are leveraging our broad regenerative medicine capabilities to address chronic and acute surgical wounds and tendon and ligament injuries. Our Sports Medicine products include NuShield for surgical applications in targeted soft tissue repairs; and Affinity, Novachor, PuraPly AM, PuraPly MZ, and PuraPly SX for management of open wounds in the surgical setting. We currently sell these products through independent agencies and our direct sales force.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May 2024, we announced that our Phase 3 randomized control trial evaluating the safety and efficacy of ReNu, a cryopreserved amniotic suspension allograft (ASA) for the management of symptoms associated with knee osteoarthritis (OA), achieved its primary endpoint upon the analysis of positive top line data. ReNu demonstrated a statistically significant reduction in knee OA pain at six months post-treatment compared with the control group. A complete analysis of the data from the Phase 3 clinical trial is expected later in May 2024.</w:t></w:r></w:p><w:p><w:pPr><w:jc w:val="start"/><w:spacing w:before="24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previously disclosed, manufacturing of Dermagraft was suspended in the fourth quarter of 2021 and sales of Dermagraft were suspended in the second quarter of 2022. We currently plan to transition our Dermagraft manufacturing to a new manufacturing facility or engage a third-party manufacturer, which we expect will result in substantial long-term cost savings. In the period when Dermagraft is not available, we expect that customers will be willing to substitute Apligraf for Dermagraft and that the suspension of Dermagraft sales will not have a material impact on our net revenue. However, if we do not realize the expected substantial long-term cost savings or if customers are unwilling to substitute Apligraf for Dermagraft during the period in which Dermagraft is unavailable, it could have an adverse effect on our net revenue and results of operations.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Local Coverage Determinations</w:t></w:r></w:p><w:p><w:pPr><w:jc w:val="start"/><w:ind w:left="0" w:right="0" w:firstLine="0" w:hanging="0"/><w:spacing w:before="120" w:after="0"/></w:pPr><w:r><w:rPr><w:rFonts w:ascii="Times New Roman" w:hAnsi="Times New Roman" w:eastAsia="Times New Roman" w:cs="Times New Roman"/><w:color w:val="000000"/><w:sz w:val="20"/><w:szCs w:val="20"/></w:rPr><w:t xml:space="preserve">In August 2023, three Medicare Administrative Contractors (MACs) issued local coverage determinations (LCDs) eliminating coverage for DFUs and VLUs for over 130 products, including five of our commercially marketed products. The LCDs were scheduled to take effect on September 17, 2023, and subsequently delayed to October 1, 2023. Given the potential adverse impact these LCDs could have on patients and on our business, we worked with our advisors to convince the MACs to withdraw the LCDs and incurred legal expenses and compensation expenses related to retention for impacted sales employees. On September 28, 2023, the three MACs withdrew the LCDs. Notwithstanding the ultimate withdrawal of the LCDs, we believe that some of our customers elected to purchase covered products from our competitors, reducing our revenue for the third and fourth quarters of the year ended December 31, 2023.</w:t></w:r></w:p><w:p><w:pPr><w:jc w:val="start"/><w:ind w:left="0" w:right="0" w:firstLine="0" w:hanging="0"/><w:spacing w:before="120" w:after="0"/></w:pPr><w:r><w:rPr><w:rFonts w:ascii="Times New Roman" w:hAnsi="Times New Roman" w:eastAsia="Times New Roman" w:cs="Times New Roman"/><w:color w:val="000000"/><w:sz w:val="20"/><w:szCs w:val="20"/></w:rPr><w:t xml:space="preserve">Similarly, on April 25, 2024, seven MACs published proposed LCDs for skin substitute grafts/cellular and tissue-based products (CTPs) for the treatment of DFUs and VLUs in the Medicare population, that classify five of our commercially marketed product lines as “non-covered.” We are engaging with the MACs to provide clinical evidence for these non-covered products demonstrating their efficacy for the treatment of DFUs and VLUs, however there is no guarantee that the MACs will agree to cover these products in the final LCDs.</w:t></w:r></w:p><w:p><w:pPr><w:jc w:val="start"/><w:spacing w:before="240" w:after="0"/></w:pPr><w:r><w:rPr><w:rFonts w:ascii="Times New Roman" w:hAnsi="Times New Roman" w:eastAsia="Times New Roman" w:cs="Times New Roman"/><w:color w:val="000000"/><w:sz w:val="20"/><w:szCs w:val="20"/><w:b w:val="1"/><w:bCs w:val="1"/><w:i w:val="1"/><w:iCs w:val="1"/></w:rPr><w:t xml:space="preserve">License And Manufacturing Agreement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November 2023, we entered into a trademark license and manufacturing agreement with Vivex Biologics, Inc. (Vivex) to sell its CYGNUS Dual (Dual) and CYGNUS Matrix (Matrix) products, with the option to license its VIA Matrix (VIA) products. We paid an upfront licensing fee to Vivex to sell Dual and Matrix, and also agreed to pay a fixed milestone payment for Dual in the event that its average selling price (ASP) is published by certain government agencies for a specified period of time, for which we previously accrued because we determined that payment would be probable in December 2024. In March 2024, we exercised the option to license VIA.</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addition, the Company is required to pay a low double-digit royalty and a high single-digit royalty on the Net Sales of Dual and Matrix, respectively, during the royalty term, as defined in the agreement with Vivex. The royalty term is commensurate with the initial term of the contract and will continue for each subsequent renewal period. The initial term of the agreement expires on December 31, 2026 and can be renewed for up to five additional one-year terms.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paid $5.0 million in upfront licensing fees and accrued $2.5 million for the milestone payment in the fourth quarter of 2023, and paid an additional $2.5 million licensing fee for the VIA option in April 2024.</w:t></w:r></w:p><w:p><w:pPr><w:jc w:val="start"/><w:spacing w:before="24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March 31, 2024, we had approximately 250 direct sales representatives and approximately 157 independent agencies.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Group Purchasing Organization (GPO) rebates, which represent a direct reduction to the revenue we recognize.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center"/><w:spacing w:before="240" w:after="0"/></w:pPr><w:r><w:rPr><w:rFonts w:ascii="Times New Roman" w:hAnsi="Times New Roman" w:eastAsia="Times New Roman" w:cs="Times New Roman"/><w:color w:val="000000"/><w:sz w:val="20"/><w:szCs w:val="20"/></w:rPr><w:t xml:space="preserve">20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 We generally expect that research and development expenses will increase as we continue to conduct clinical trials on new and existing products, move products through the regulatory pathway (e.g., seek biologics license application approval), add personnel to support product enhancements as well as to bring new products to market, and enhance our manufacturing process and procedures.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Other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expense, net consists primarily of interest expense, which is interest on our outstanding indebtedness, including amortization of debt discount and debt issuance costs, net of interest income recognized.</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We maintain the position that our net U.S. deferred tax assets did not require a valuation allowance as of March 31, 2024 and December 31, 2023.</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sets forth, for the periods indicated, our results of operations: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tbl><w:tblGrid><w:gridCol w:w="36350" w:type="dxa"/><w:gridCol w:w="300" w:type="dxa"/><w:gridCol w:w="50" w:type="dxa"/><w:gridCol w:w="26850" w:type="dxa"/><w:gridCol w:w="50" w:type="dxa"/><w:gridCol w:w="300" w:type="dxa"/><w:gridCol w:w="50" w:type="dxa"/><w:gridCol w:w="26850" w:type="dxa"/><w:gridCol w:w="50" w:type="dxa"/></w:tblGrid><w:tblPr><w:tblW w:w="0" w:type="pct"/><w:tblLayout w:type="autofit"/></w:tblPr><w:tr><w:trPr/><w:tc><w:tcPr><w:tcW w:w="36350" w:type="pct"/><w:noWrap/></w:tcPr><w:p><w:pPr/></w:p></w:tc><w:tc><w:tcPr><w:tcW w:w="300" w:type="pct"/><w:noWrap/></w:tcPr><w:p><w:pPr/></w:p></w:tc><w:tc><w:tcPr><w:tcW w:w="50" w:type="pct"/><w:noWrap/></w:tcPr><w:p><w:pPr/></w:p></w:tc><w:tc><w:tcPr><w:tcW w:w="26850" w:type="pct"/><w:noWrap/></w:tcPr><w:p><w:pPr/></w:p></w:tc><w:tc><w:tcPr><w:tcW w:w="50" w:type="pct"/><w:noWrap/></w:tcPr><w:p><w:pPr/></w:p></w:tc><w:tc><w:tcPr><w:tcW w:w="300" w:type="pct"/><w:noWrap/></w:tcPr><w:p><w:pPr/></w:p></w:tc><w:tc><w:tcPr><w:tcW w:w="50" w:type="pct"/><w:noWrap/></w:tcPr><w:p><w:pPr/></w:p></w:tc><w:tc><w:tcPr><w:tcW w:w="268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revenue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109,976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107,642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28,696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26,607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Gross profit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81,280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81,035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72,322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73,834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12,810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11,202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operating expenses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85,132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85,036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Loss from operations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(3,852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(4,001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Other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expense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(514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(649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Other income,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other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(491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(626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 before income taxes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(4,343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(4,627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Income tax benefit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2,243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1,658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(2,969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16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management uses financial measures that are not in accordance with generally accepted accounting principles in the United States (non-GAAP), in addition to financial measures in accordance with generally accepted accounting principles in the United States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p><w:p><w:pPr><w:jc w:val="start"/><w:ind w:left="0" w:right="0" w:firstLine="0" w:hanging="0"/><w:spacing w:before="120" w:after="0"/></w:pPr><w:r><w:rPr><w:rFonts w:ascii="Times New Roman" w:hAnsi="Times New Roman" w:eastAsia="Times New Roman" w:cs="Times New Roman"/><w:color w:val="000000"/><w:sz w:val="20"/><w:szCs w:val="20"/></w:rPr><w:t xml:space="preserve">The following is a reconciliation of GAAP net loss to non-GAAP EBITDA and non-GAAP Adjusted EBITDA for each of the periods presented:</w:t></w:r></w:p><w:p><w:pPr><w:jc w:val="start"/><w:ind w:left="0" w:right="0" w:firstLine="0" w:hanging="0"/><w:spacing w:before="120" w:after="0"/></w:pPr><w:r><w:rPr><w:rFonts w:ascii="Times New Roman" w:hAnsi="Times New Roman" w:eastAsia="Times New Roman" w:cs="Times New Roman"/><w:sz w:val="20"/><w:szCs w:val="20"/></w:rPr><w:t xml:space="preserve"> </w:t></w:r></w:p><w:tbl><w:tblGrid><w:gridCol w:w="2550" w:type="dxa"/><w:gridCol w:w="2400" w:type="dxa"/><w:gridCol w:w="50" w:type="dxa"/><w:gridCol w:w="24800" w:type="dxa"/><w:gridCol w:w="50" w:type="dxa"/><w:gridCol w:w="2400" w:type="dxa"/><w:gridCol w:w="50" w:type="dxa"/><w:gridCol w:w="24800" w:type="dxa"/><w:gridCol w:w="50" w:type="dxa"/></w:tblGrid><w:tblPr><w:tblW w:w="0" w:type="pct"/><w:tblLayout w:type="autofit"/></w:tblPr><w:tr><w:trPr/><w:tc><w:tcPr><w:tcW w:w="2550" w:type="pct"/><w:noWrap/></w:tcPr><w:p><w:pPr/></w:p></w:tc><w:tc><w:tcPr><w:tcW w:w="2400" w:type="pct"/><w:noWrap/></w:tcPr><w:p><w:pPr/></w:p></w:tc><w:tc><w:tcPr><w:tcW w:w="50" w:type="pct"/><w:noWrap/></w:tcPr><w:p><w:pPr/></w:p></w:tc><w:tc><w:tcPr><w:tcW w:w="24800" w:type="pct"/><w:noWrap/></w:tcPr><w:p><w:pPr/></w:p></w:tc><w:tc><w:tcPr><w:tcW w:w="50" w:type="pct"/><w:noWrap/></w:tcPr><w:p><w:pPr/></w:p></w:tc><w:tc><w:tcPr><w:tcW w:w="2400" w:type="pct"/><w:noWrap/></w:tcPr><w:p><w:pPr/></w:p></w:tc><w:tc><w:tcPr><w:tcW w:w="50" w:type="pct"/><w:noWrap/></w:tcPr><w:p><w:pPr/></w:p></w:tc><w:tc><w:tcPr><w:tcW w:w="248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(2,100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(2,969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expense, net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514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649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(1,658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Depreciation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3,072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2,694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Amortization</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901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2,407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1,914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Restructuring charge (1)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1,908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Adjusted EBITDA</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2,551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3,768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color w:val="000000"/><w:sz w:val="12"/><w:szCs w:val="12"/></w:rPr><w:t xml:space="preserve"> </w:t></w:r></w:p><w:p><w:pPr><w:jc w:val="center"/><w:spacing w:before="240" w:after="0"/></w:pPr><w:r><w:rPr><w:rFonts w:ascii="Times New Roman" w:hAnsi="Times New Roman" w:eastAsia="Times New Roman" w:cs="Times New Roman"/><w:color w:val="000000"/><w:sz w:val="20"/><w:szCs w:val="20"/></w:rPr><w:t xml:space="preserve">22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pPr><w:r><w:rPr><w:rFonts w:ascii="Times New Roman" w:hAnsi="Times New Roman" w:eastAsia="Times New Roman" w:cs="Times New Roman"/><w:color w:val="000000"/><w:sz w:val="20"/><w:szCs w:val="20"/></w:rPr><w:t xml:space="preserve">(1)</w:t></w:r></w:p><w:p><w:pPr><w:jc w:val="start"/></w:pPr><w:r><w:rPr><w:rFonts w:ascii="Times New Roman" w:hAnsi="Times New Roman" w:eastAsia="Times New Roman" w:cs="Times New Roman"/><w:color w:val="000000"/><w:sz w:val="20"/><w:szCs w:val="20"/></w:rPr><w:t xml:space="preserve">Amounts reflect employee severance, retention and benefits as well as other exit costs associated with the Company’s restructuring activities. See Note 9, </w:t></w:r></w:p><w:p><w:pPr><w:jc w:val="start"/></w:pPr><w:r><w:rPr><w:rFonts w:ascii="Times New Roman" w:hAnsi="Times New Roman" w:eastAsia="Times New Roman" w:cs="Times New Roman"/><w:color w:val="000000"/><w:sz w:val="20"/><w:szCs w:val="20"/><w:i w:val="1"/><w:iCs w:val="1"/></w:rPr><w:t xml:space="preserve">Restructuring</w:t></w:r></w:p><w:p><w:pPr><w:jc w:val="start"/></w:pP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spacing w:before="360" w:after="0"/></w:pPr><w:r><w:rPr><w:rFonts w:ascii="Times New Roman" w:hAnsi="Times New Roman" w:eastAsia="Times New Roman" w:cs="Times New Roman"/><w:color w:val="000000"/><w:sz w:val="20"/><w:szCs w:val="20"/><w:b w:val="1"/><w:bCs w:val="1"/></w:rPr><w:t xml:space="preserve">Comparison of Three Months Ended March 31, 2024 and 2023</w:t></w:r></w:p><w:p><w:pPr><w:jc w:val="start"/><w:spacing w:before="12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8900" w:type="dxa"/><w:gridCol w:w="5550" w:type="dxa"/><w:gridCol w:w="50" w:type="dxa"/><w:gridCol w:w="44450" w:type="dxa"/><w:gridCol w:w="50" w:type="dxa"/><w:gridCol w:w="5550" w:type="dxa"/><w:gridCol w:w="50" w:type="dxa"/><w:gridCol w:w="22200000000000150" w:type="dxa"/><w:gridCol w:w="50" w:type="dxa"/><w:gridCol w:w="11100" w:type="dxa"/><w:gridCol w:w="50" w:type="dxa"/><w:gridCol w:w="43300" w:type="dxa"/><w:gridCol w:w="50" w:type="dxa"/><w:gridCol w:w="11100" w:type="dxa"/><w:gridCol w:w="50" w:type="dxa"/><w:gridCol w:w="47750" w:type="dxa"/><w:gridCol w:w="50" w:type="dxa"/></w:tblGrid><w:tblPr><w:tblW w:w="0" w:type="pct"/><w:tblLayout w:type="autofit"/></w:tblPr><w:tr><w:trPr/><w:tc><w:tcPr><w:tcW w:w="8900" w:type="pct"/><w:noWrap/></w:tcPr><w:p><w:pPr/></w:p></w:tc><w:tc><w:tcPr><w:tcW w:w="5550" w:type="pct"/><w:noWrap/></w:tcPr><w:p><w:pPr/></w:p></w:tc><w:tc><w:tcPr><w:tcW w:w="50" w:type="pct"/><w:noWrap/></w:tcPr><w:p><w:pPr/></w:p></w:tc><w:tc><w:tcPr><w:tcW w:w="44450" w:type="pct"/><w:noWrap/></w:tcPr><w:p><w:pPr/></w:p></w:tc><w:tc><w:tcPr><w:tcW w:w="50" w:type="pct"/><w:noWrap/></w:tcPr><w:p><w:pPr/></w:p></w:tc><w:tc><w:tcPr><w:tcW w:w="5550" w:type="pct"/><w:noWrap/></w:tcPr><w:p><w:pPr/></w:p></w:tc><w:tc><w:tcPr><w:tcW w:w="50" w:type="pct"/><w:noWrap/></w:tcPr><w:p><w:pPr/></w:p></w:tc><w:tc><w:tcPr><w:tcW w:w="22200000000000150" w:type="pct"/><w:noWrap/></w:tcPr><w:p><w:pPr/></w:p></w:tc><w:tc><w:tcPr><w:tcW w:w="50" w:type="pct"/><w:noWrap/></w:tcPr><w:p><w:pPr/></w:p></w:tc><w:tc><w:tcPr><w:tcW w:w="11100" w:type="pct"/><w:noWrap/></w:tcPr><w:p><w:pPr/></w:p></w:tc><w:tc><w:tcPr><w:tcW w:w="50" w:type="pct"/><w:noWrap/></w:tcPr><w:p><w:pPr/></w:p></w:tc><w:tc><w:tcPr><w:tcW w:w="43300" w:type="pct"/><w:noWrap/></w:tcPr><w:p><w:pPr/></w:p></w:tc><w:tc><w:tcPr><w:tcW w:w="50" w:type="pct"/><w:noWrap/></w:tcPr><w:p><w:pPr/></w:p></w:tc><w:tc><w:tcPr><w:tcW w:w="11100" w:type="pct"/><w:noWrap/></w:tcPr><w:p><w:pPr/></w:p></w:tc><w:tc><w:tcPr><w:tcW w:w="50" w:type="pct"/><w:noWrap/></w:tcPr><w:p><w:pPr/></w:p></w:tc><w:tc><w:tcPr><w:tcW w:w="477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103,864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100,917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2,947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6,112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6,725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(613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109,976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107,642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2,334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Net revenue from our Advanced Wound Care products increased by $2.9 million, or 3%, to $103.9 million in the three months ended March 31, 2024, from $100.9 million in the three months ended March 31, 2023. The increase in Advanced Wound Care net revenue was primarily attributable to an increase in product sales of certain of our products to our existing and new customers.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Net revenue from our Surgical & Sports Medicine products decreased by $0.6 million, or 9% to $6.1 million in the three months ended March 31, 2024 from $6.7 million in the three months ended March 31, 2023. The decrease in Surgical & Sports Medicine net revenue was primarily due to a decrease in certain customer buying patterns.</w:t></w:r></w:p><w:p><w:pPr><w:jc w:val="start"/><w:spacing w:before="24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2050" w:type="dxa"/><w:gridCol w:w="1300" w:type="dxa"/><w:gridCol w:w="50" w:type="dxa"/><w:gridCol w:w="32100000000000050" w:type="dxa"/><w:gridCol w:w="50" w:type="dxa"/><w:gridCol w:w="1300" w:type="dxa"/><w:gridCol w:w="50" w:type="dxa"/><w:gridCol w:w="32100000000000050" w:type="dxa"/><w:gridCol w:w="50" w:type="dxa"/><w:gridCol w:w="1300" w:type="dxa"/><w:gridCol w:w="50" w:type="dxa"/><w:gridCol w:w="21100" w:type="dxa"/><w:gridCol w:w="50" w:type="dxa"/><w:gridCol w:w="50" w:type="dxa"/><w:gridCol w:w="50" w:type="dxa"/><w:gridCol w:w="5100" w:type="dxa"/><w:gridCol w:w="50" w:type="dxa"/></w:tblGrid><w:tblPr><w:tblW w:w="0" w:type="pct"/><w:tblLayout w:type="autofit"/></w:tblPr><w:tr><w:trPr/><w:tc><w:tcPr><w:tcW w:w="20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21100" w:type="pct"/><w:noWrap/></w:tcPr><w:p><w:pPr/></w:p></w:tc><w:tc><w:tcPr><w:tcW w:w="50" w:type="pct"/><w:noWrap/></w:tcPr><w:p><w:pPr/></w:p></w:tc><w:tc><w:tcPr><w:tcW w:w="50" w:type="pct"/><w:noWrap/></w:tcPr><w:p><w:pPr/></w:p></w:tc><w:tc><w:tcPr><w:tcW w:w="50" w:type="pct"/><w:noWrap/></w:tcPr><w:p><w:pPr/></w:p></w:tc><w:tc><w:tcPr><w:tcW w:w="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28,696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26,607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2,089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81,280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81,035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245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Cost of goods sold increased by $2.1 million, or 8%, to $28.7 million in the three months ended March 31, 2024, from $26.6 million in the three months ended March 31, 2023. The increase in cost of goods sold in the three months ended March 31, 2024 was primarily due to an increase in sales volume as well as a shift in product mix.</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Gross profit increased by $0.2 million to $81.3 million in the three months ended March 31, 2024 from $81.0 million in the three months ended March 31, 2023. Gross profit remained consistent from the three months ended March 31, 2023 to the three months ended March 31, 2024, but decreased as a percentage of revenue, due to a shift in product mix.</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12,810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11,202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1,608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Research and development expenses increased by $1.6 million, or 14%, to $12.8 million in the three months ended March 31, 2024 from $11.2 million in the three months ended March 31, 2023. The increase in research and development expenses was primarily due to expenses associated with clinical research and trials, primarily related to ReNu, and support of Biologics License Application (BLA) efforts.</w:t></w:r></w:p><w:p><w:pPr><w:jc w:val="center"/><w:spacing w:before="240" w:after="0"/></w:pPr><w:r><w:rPr><w:rFonts w:ascii="Times New Roman" w:hAnsi="Times New Roman" w:eastAsia="Times New Roman" w:cs="Times New Roman"/><w:color w:val="000000"/><w:sz w:val="20"/><w:szCs w:val="20"/></w:rPr><w:t xml:space="preserve">23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72,322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73,834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(1,512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decreased by $1.5 million, or 2%, to $72.3 million in the three months ended March 31, 2024 from $73.8 million in the three months ended March 31, 2023. The decrease in selling, general and administrative expenses was primarily due to a $5.2 million reduction in headcount-related expenses, including $1.9 million in severance expense incurred in the three months ended March 31, 2023 and not repeated in the three months ended March 31, 2024; partially offset by $3.5 million in royalty expense.</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Other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expense, net, decreased by $0.1 million, or 17%, to $0.5 million in the three months ended March 31, 2024 from $0.6 million in the three months ended March 31, 2023. Other expense, net is comprised primarily of interest expense, and the decrease is due to the decreased debt balance under the 2021 Credit Agreement.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 Benefit</w:t></w:r></w:p><w:p><w:pPr><w:jc w:val="start"/><w:spacing w:before="0" w:after="0"/></w:pPr><w:r><w:rPr><w:rFonts w:ascii="Times New Roman" w:hAnsi="Times New Roman" w:eastAsia="Times New Roman" w:cs="Times New Roman"/><w:sz w:val="24"/><w:szCs w:val="24"/></w:rPr><w:t xml:space="preserve"> </w:t></w:r></w:p><w:tbl><w:tblGrid><w:gridCol w:w="3350" w:type="dxa"/><w:gridCol w:w="900" w:type="dxa"/><w:gridCol w:w="50" w:type="dxa"/><w:gridCol w:w="45100000000000050" w:type="dxa"/><w:gridCol w:w="50" w:type="dxa"/><w:gridCol w:w="900" w:type="dxa"/><w:gridCol w:w="50" w:type="dxa"/><w:gridCol w:w="45100000000000050" w:type="dxa"/><w:gridCol w:w="50" w:type="dxa"/><w:gridCol w:w="900" w:type="dxa"/><w:gridCol w:w="50" w:type="dxa"/><w:gridCol w:w="31100" w:type="dxa"/><w:gridCol w:w="50" w:type="dxa"/><w:gridCol w:w="50" w:type="dxa"/><w:gridCol w:w="50" w:type="dxa"/><w:gridCol w:w="18100" w:type="dxa"/><w:gridCol w:w="50" w:type="dxa"/></w:tblGrid><w:tblPr><w:tblW w:w="0" w:type="pct"/><w:tblLayout w:type="autofit"/></w:tblPr><w:tr><w:trPr/><w:tc><w:tcPr><w:tcW w:w="3350" w:type="pct"/><w:noWrap/></w:tcPr><w:p><w:pPr/></w:p></w:tc><w:tc><w:tcPr><w:tcW w:w="900" w:type="pct"/><w:noWrap/></w:tcPr><w:p><w:pPr/></w:p></w:tc><w:tc><w:tcPr><w:tcW w:w="50" w:type="pct"/><w:noWrap/></w:tcPr><w:p><w:pPr/></w:p></w:tc><w:tc><w:tcPr><w:tcW w:w="45100000000000050" w:type="pct"/><w:noWrap/></w:tcPr><w:p><w:pPr/></w:p></w:tc><w:tc><w:tcPr><w:tcW w:w="50" w:type="pct"/><w:noWrap/></w:tcPr><w:p><w:pPr/></w:p></w:tc><w:tc><w:tcPr><w:tcW w:w="900" w:type="pct"/><w:noWrap/></w:tcPr><w:p><w:pPr/></w:p></w:tc><w:tc><w:tcPr><w:tcW w:w="50" w:type="pct"/><w:noWrap/></w:tcPr><w:p><w:pPr/></w:p></w:tc><w:tc><w:tcPr><w:tcW w:w="45100000000000050" w:type="pct"/><w:noWrap/></w:tcPr><w:p><w:pPr/></w:p></w:tc><w:tc><w:tcPr><w:tcW w:w="50" w:type="pct"/><w:noWrap/></w:tcPr><w:p><w:pPr/></w:p></w:tc><w:tc><w:tcPr><w:tcW w:w="900" w:type="pct"/><w:noWrap/></w:tcPr><w:p><w:pPr/></w:p></w:tc><w:tc><w:tcPr><w:tcW w:w="50" w:type="pct"/><w:noWrap/></w:tcPr><w:p><w:pPr/></w:p></w:tc><w:tc><w:tcPr><w:tcW w:w="31100" w:type="pct"/><w:noWrap/></w:tcPr><w:p><w:pPr/></w:p></w:tc><w:tc><w:tcPr><w:tcW w:w="50" w:type="pct"/><w:noWrap/></w:tcPr><w:p><w:pPr/></w:p></w:tc><w:tc><w:tcPr><w:tcW w:w="50" w:type="pct"/><w:noWrap/></w:tcPr><w:p><w:pPr/></w:p></w:tc><w:tc><w:tcPr><w:tcW w:w="50" w:type="pct"/><w:noWrap/></w:tcPr><w:p><w:pPr/></w:p></w:tc><w:tc><w:tcPr><w:tcW w:w="18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2,243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1,658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585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color w:val="000000"/><w:sz w:val="20"/><w:szCs w:val="20"/></w:rPr><w:t xml:space="preserve">Income tax benefit increased by $0.6 million, or 35%, to $2.2 million in the three months ended March 31, 2024 from $1.7 million in the three months ended March 31, 2023. The change in the income tax benefit is primarily attributable to a higher estimated effective tax rate for the twelve months ended December 31, 2024 resulting from a reduction in expected pre-tax income in 2024 compared to 2023.</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March 31, 2024, we had working capital of $144.4 million, which included $88.6 million in cash and cash equivalents. We also have $125.0 million available for future revolving borrowings under our Revolving Facility (see Note 10, </w:t></w:r><w:r><w:rPr><w:rFonts w:ascii="Times New Roman" w:hAnsi="Times New Roman" w:eastAsia="Times New Roman" w:cs="Times New Roman"/><w:color w:val="000000"/><w:sz w:val="20"/><w:szCs w:val="20"/><w:i w:val="1"/><w:iCs w:val="1"/></w:rPr><w:t xml:space="preserve">Long-Term Debt Obligations</w:t></w:r><w:r><w:rPr><w:rFonts w:ascii="Times New Roman" w:hAnsi="Times New Roman" w:eastAsia="Times New Roman" w:cs="Times New Roman"/><w:color w:val="000000"/><w:sz w:val="20"/><w:szCs w:val="20"/></w:rPr><w:t xml:space="preserve"> to our condensed consolidated financial statements included in this Quarterly Report on Form 10-Q). We expect that our cash on hand and other components of working capital as of March 31, 2024, availability under the 2021 Credit Agreement, plus net cash flows from product sales, will be sufficient to fund our operating expenses, capital expenditure requirements and debt service payments for at least 12 months beyond the filing date of this quarterly report.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p><w:p><w:pPr><w:jc w:val="start"/><w:ind w:left="0" w:right="0" w:firstLine="0" w:hanging="0"/><w:spacing w:before="120" w:after="0"/></w:pPr><w:r><w:rPr><w:rFonts w:ascii="Times New Roman" w:hAnsi="Times New Roman" w:eastAsia="Times New Roman" w:cs="Times New Roman"/><w:color w:val="000000"/><w:sz w:val="20"/><w:szCs w:val="2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p><w:p><w:pPr><w:jc w:val="center"/><w:spacing w:before="240" w:after="0"/></w:pPr><w:r><w:rPr><w:rFonts w:ascii="Times New Roman" w:hAnsi="Times New Roman" w:eastAsia="Times New Roman" w:cs="Times New Roman"/><w:color w:val="000000"/><w:sz w:val="20"/><w:szCs w:val="20"/></w:rPr><w:t xml:space="preserve">24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Cash Flows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our cash flows for each of the periods presented: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150" w:type="dxa"/><w:gridCol w:w="11700" w:type="dxa"/><w:gridCol w:w="50" w:type="dxa"/><w:gridCol w:w="49100" w:type="dxa"/><w:gridCol w:w="50" w:type="dxa"/><w:gridCol w:w="11700" w:type="dxa"/><w:gridCol w:w="50" w:type="dxa"/><w:gridCol w:w="13300" w:type="dxa"/><w:gridCol w:w="50" w:type="dxa"/></w:tblGrid><w:tblPr><w:tblW w:w="0" w:type="pct"/><w:tblLayout w:type="autofit"/></w:tblPr><w:tr><w:trPr/><w:tc><w:tcPr><w:tcW w:w="14150" w:type="pct"/><w:noWrap/></w:tcPr><w:p><w:pPr/></w:p></w:tc><w:tc><w:tcPr><w:tcW w:w="11700" w:type="pct"/><w:noWrap/></w:tcPr><w:p><w:pPr/></w:p></w:tc><w:tc><w:tcPr><w:tcW w:w="50" w:type="pct"/><w:noWrap/></w:tcPr><w:p><w:pPr/></w:p></w:tc><w:tc><w:tcPr><w:tcW w:w="49100" w:type="pct"/><w:noWrap/></w:tcPr><w:p><w:pPr/></w:p></w:tc><w:tc><w:tcPr><w:tcW w:w="50" w:type="pct"/><w:noWrap/></w:tcPr><w:p><w:pPr/></w:p></w:tc><w:tc><w:tcPr><w:tcW w:w="11700" w:type="pct"/><w:noWrap/></w:tcPr><w:p><w:pPr/></w:p></w:tc><w:tc><w:tcPr><w:tcW w:w="50" w:type="pct"/><w:noWrap/></w:tcPr><w:p><w:pPr/></w:p></w:tc><w:tc><w:tcPr><w:tcW w:w="13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March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operating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(10,162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(5,077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cash used in investing activities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(2,222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(7,562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financing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(2,608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(1,236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change in cash, cash equivalents, and restricted cash</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(14,992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(13,875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i w:val="1"/><w:iCs w:val="1"/></w:rPr><w:t xml:space="preserve">Operating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2024, net cash used in operating activities was $10.2 million, resulting from our net loss of $2.1 million and non-cash charges of $12.6 million, partially offset by net cash used in connection with changes in our operating assets and liabilities of $20.7 million. Net cash used in changes in our operating assets and liabilities included an increase in inventory of $4.7 million, an increase in prepaid expenses and other current assets of $4.3 million, an increase in accounts receivable of $15.1 million, a decrease in operating lease liabilities of $2.2 million, and a decrease in accounts payable of $4.4 million, partially offset by an increase in accrued expenses and other liabilities of $12.3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2023, net cash used in operating activities was $5.1 million, resulting from our net loss of $3.0 million and net cash used in connection with changes in our operating assets and liabilities of $11.8 million, partially offset by non-cash charges of $9.7 million. Net cash used in changes in our operating assets and liabilities included an increase in accounts receivable of $3.4 million, an increase in inventory of $2.2 million, an increase in prepaid expenses and other current assets of $4.8 million, a decrease in operating leases liabilities of $2.1 million, and a decrease in accounts payable of $1.4 million, partially offset by an increase in accrued expenses and other liabilities of $2.1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i w:val="1"/><w:iCs w:val="1"/></w:rPr><w:t xml:space="preserve">Investing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2024, we used $2.2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2023, we used $7.6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color w:val="000000"/><w:sz w:val="20"/><w:szCs w:val="20"/><w:i w:val="1"/><w:iCs w:val="1"/></w:rPr><w:t xml:space="preserve">Financing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2024, net cash used in financing activities was $2.6 million. This consisted of the payment of term loan of $1.4 million, principal payments on finance lease obligations of $0.2 million, and net cash payments associated with our stock awards activities of $1.1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2023, net cash used in financing activities was $1.2 million. This consisted of the payment of term loan and the stock awards activities.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spacing w:before="120" w:after="0"/></w:pPr><w:r><w:rPr><w:rFonts w:ascii="Times New Roman" w:hAnsi="Times New Roman" w:eastAsia="Times New Roman" w:cs="Times New Roman"/><w:color w:val="000000"/><w:sz w:val="20"/><w:szCs w:val="20"/><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we and our subsidiaries entered into a credit agreement with SVB and several other lenders, which we refer to as the 2021 Credit Agreement. The 2021 Credit Agreement, as amended, provides for a term loan facility not to exceed $75.0 million (the Term Loan Facility) and a revolving credit facility not to exceed $125.0 million (the Revolving Facility).</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may be either SOFR Loans or ABR Loans, at our option. For SOFR Loans, the interest rate is a per annum interest rate equal to the Adjusted Term SOFR</w:t></w:r><w:r><w:rPr><w:rFonts w:ascii="'Calibri'" w:hAnsi="'Calibri'" w:eastAsia="'Calibri'" w:cs="'Calibri'"/><w:color w:val="000000"/><w:sz w:val="20"/><w:szCs w:val="20"/></w:rPr><w:t xml:space="preserve"> </w:t></w:r><w:r><w:rPr><w:rFonts w:ascii="Times New Roman" w:hAnsi="Times New Roman" w:eastAsia="Times New Roman" w:cs="Times New Roman"/><w:color w:val="000000"/><w:sz w:val="20"/><w:szCs w:val="20"/></w:rPr><w:t xml:space="preserve">plus an Applicable Margin between 2.00% to 3.25% based on the Total Net Leverage Ratio. For ABR Loans, the interest rate is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1.00% to 2.25% based on the Total Net Leverage Ratio. On March 31, 2024, the applicable interest rate for outstanding borrowings is 7.64%.</w:t></w:r></w:p><w:p><w:pPr><w:jc w:val="center"/><w:spacing w:before="240" w:after="0"/></w:pPr><w:r><w:rPr><w:rFonts w:ascii="Times New Roman" w:hAnsi="Times New Roman" w:eastAsia="Times New Roman" w:cs="Times New Roman"/><w:color w:val="000000"/><w:sz w:val="20"/><w:szCs w:val="20"/></w:rPr><w:t xml:space="preserve">25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2021 Credit Agreement requires us to make consecutive quarterly installment payments equal to the following: (a) from September 30, 2021 through and including June 30, 2022, $0.5 million; (b) from September 30, 2022 through and including June 30, 2023, $0.9 million; (c) from September 30, 2023 through and including June 30, 2025, $1.4 million and (d) from September 30, 2025 and the last day of each quarter thereafter until August 6, 2026 (the Term Loan Maturity Date), $1.9 million. The remaining principal balance of $50.6 million is also due on the Term Loan Maturity Date. We may prepay the Term Loan Facility. Once repaid, amounts borrowed under the Term Loan Facility may not be re-borrowed.</w:t></w:r></w:p><w:p><w:pPr><w:jc w:val="start"/><w:ind w:left="0" w:right="0" w:firstLine="0" w:hanging="0"/><w:spacing w:before="120" w:after="0"/></w:pPr><w:r><w:rPr><w:rFonts w:ascii="Times New Roman" w:hAnsi="Times New Roman" w:eastAsia="Times New Roman" w:cs="Times New Roman"/><w:color w:val="000000"/><w:sz w:val="20"/><w:szCs w:val="2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Times New Roman" w:hAnsi="Times New Roman" w:eastAsia="Times New Roman" w:cs="Times New Roman"/><w:color w:val="000000"/><w:sz w:val="20"/><w:szCs w:val="20"/></w:rPr><w:t xml:space="preserve">As of March 31, 2024, we were in compliance with the covenants under the 2021 Credit Agreement. We had outstanding borrowings of $65.2 million under our Term Loan Facility and no borrowings outstanding under our Revolving Facility with $125.0 million available for future revolving borrowings, respectively.</w:t></w:r></w:p><w:p><w:pPr><w:jc w:val="start"/><w:spacing w:before="36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unaudited condensed consolidated financial statements have been prepared in accordance with GAAP. The preparation of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and comprehensive loss, liquidity and financial condition. See also our Annual Report on Form 10-K for the fiscal year ended December 31, 2023, for information about these accounting policies as well as a description of our other significant accounting policies.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reviewed all recently issued standards as disclosed in Note 2, </w:t></w:r><w:r><w:rPr><w:rFonts w:ascii="Times New Roman" w:hAnsi="Times New Roman" w:eastAsia="Times New Roman" w:cs="Times New Roman"/><w:color w:val="000000"/><w:sz w:val="20"/><w:szCs w:val="20"/><w:i w:val="1"/><w:iCs w:val="1"/></w:rPr><w:t xml:space="preserve">Summary of Significant Accounting Policies</w:t></w: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spacing w:before="36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2024, there were no material changes to our market risk disclosures as set forth in Part II, Item 7A, “Quantitative and Qualitative Disclosures About Market Risk” in our Annual Report on Form 10-K for the fiscal year ended December 31, 2023.</w:t></w:r></w:p><w:p><w:pPr><w:jc w:val="center"/><w:spacing w:before="240" w:after="0"/></w:pPr><w:r><w:rPr><w:rFonts w:ascii="Times New Roman" w:hAnsi="Times New Roman" w:eastAsia="Times New Roman" w:cs="Times New Roman"/><w:color w:val="000000"/><w:sz w:val="20"/><w:szCs w:val="20"/></w:rPr><w:t xml:space="preserve">26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rPr><w:t xml:space="preserve">Our management, with the participation of our principal executive officer and principal financial officer, evaluated the effectiveness of our disclosure controls and procedures as of March 31, 2024. The term “disclosure controls and procedures,” as defined in Rules 13a-15(e) and 15d-15(e) under the Securities Exchange Act of 1934, as amended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Based on that evaluation, our management, including our principal executive officer and principal financial officer, concluded that, as of March 31, 2024, our disclosure controls and procedures were ineffective because, as disclosed in the Company’s Annual Report for the fiscal year ended December 31, 2023, we did not design and maintain effective controls over information technology general controls and proper segregation of duties to support the proper initiation and recording of transactions and the resulting impact on business process controls and applications that rely on such data.</w:t></w:r></w:p><w:p><w:pPr><w:jc w:val="start"/><w:ind w:left="0" w:right="0" w:firstLine="0" w:hanging="0"/><w:spacing w:before="120" w:after="0"/></w:pPr><w:r><w:rPr><w:rFonts w:ascii="Times New Roman" w:hAnsi="Times New Roman" w:eastAsia="Times New Roman" w:cs="Times New Roman"/><w:color w:val="000000"/><w:sz w:val="20"/><w:szCs w:val="2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w:t></w:r><w:r><w:rPr><w:rFonts w:ascii="Times New Roman" w:hAnsi="Times New Roman" w:eastAsia="Times New Roman" w:cs="Times New Roman"/><w:color w:val="000000"/><w:sz w:val="20"/><w:szCs w:val="20"/><w:i w:val="1"/><w:iCs w:val="1"/></w:rPr><w:t xml:space="preserve">Internal Control— Integrated Framework</w:t></w:r><w:r><w:rPr><w:rFonts w:ascii="Times New Roman" w:hAnsi="Times New Roman" w:eastAsia="Times New Roman" w:cs="Times New Roman"/><w:color w:val="000000"/><w:sz w:val="20"/><w:szCs w:val="20"/></w:rPr><w:t xml:space="preserve"> issued by the Committee of Sponsoring Organizations of the Treadway Commission in 2013 (COSO framework). Although it has made progress in remediating the remaining material weakness, as a result of its assessment, management concluded that as of March 31, 2024, our internal control over financial reporting was ineffective based on the criteria of the COSO framework, and the continued existence of the material weakness described above.</w:t></w:r></w:p><w:p><w:pPr><w:jc w:val="start"/><w:spacing w:before="120" w:after="0"/></w:pPr><w:r><w:rPr><w:rFonts w:ascii="Times New Roman" w:hAnsi="Times New Roman" w:eastAsia="Times New Roman" w:cs="Times New Roman"/><w:color w:val="000000"/><w:sz w:val="20"/><w:szCs w:val="20"/><w:b w:val="1"/><w:bCs w:val="1"/></w:rPr><w:t xml:space="preserve">Plans for Remediation of Material Weakness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 is committed to finalizing the remediation of the material weakness. Management’s internal control remediation efforts include the following:</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We finalized the plan to implement a new company-wide enterprise resource planning, (ERP) system to provide additional systematic controls and segregation of duties for our accounting processes, and anticipate the ERP system implementation to be completed throughout 2024 and 2025. We have implemented controls to mitigate existing risks where proper segregation within our existing ERP may not be feasible. </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An outside firm will continue to assist management with performing control operating effectiveness testing throughout the year. </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We regularly reported the results of control testing to the key stakeholders across our organization, including our audit committee, on testing progress and defined corrective actions, and we monitored and reported on the results of control remediation. We have strengthened our internal policies, processes, and reviews through these actions.</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We have continued working on documenting and remediating weaknesses and structuring the Company’s processes to meet Sarbanes-Oxley (SOX) 404(b) requirements. </w:t></w:r></w:p><w:p><w:pPr><w:jc w:val="start"/><w:ind w:left="0" w:right="0" w:firstLine="0" w:hanging="0"/><w:spacing w:before="120" w:after="0"/></w:pPr><w:r><w:rPr><w:rFonts w:ascii="Times New Roman" w:hAnsi="Times New Roman" w:eastAsia="Times New Roman" w:cs="Times New Roman"/><w:color w:val="000000"/><w:sz w:val="20"/><w:szCs w:val="20"/></w:rPr><w:t xml:space="preserve">As management continues to evaluate and work to improve our internal control over financial reporting, management may determine it is necessary to take additional measures to address the material weakness. However, we believe the above actions will be effective in remediating the remaining material weakness and we will continue to devote significant time and attention to these remediation efforts. Until the controls have been operating for a sufficient period of time and management has concluded, through testing, that these controls are executed consistently and operating effectively, the material weakness described above will continue to exist.</w:t></w:r></w:p><w:p><w:pPr><w:jc w:val="start"/><w:spacing w:before="240" w:after="0"/></w:pPr><w:r><w:rPr><w:rFonts w:ascii="Times New Roman" w:hAnsi="Times New Roman" w:eastAsia="Times New Roman" w:cs="Times New Roman"/><w:color w:val="000000"/><w:sz w:val="20"/><w:szCs w:val="20"/><w:b w:val="1"/><w:bCs w:val="1"/></w:rPr><w:t xml:space="preserve">Changes in Internal Control Over Financial Reporting</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There have been no changes in our internal control over financial reporting that occurred during the quarter ended March 31, 2024 that have materially affected, or are reasonably likely to materially affect, our internal control over financial reporting other than those described above related to remediation efforts of the remaining material weakness. As the implementation of the new ERP system continues and our remediation efforts continue, we will change our processes and procedures, which in turn, could result in</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changes to our internal control over financial reporting. As such changes occur, we will evaluate quarterly whether such changes materially affect our internal control over financial reporting.</w:t></w:r></w:p><w:p><w:pPr><w:jc w:val="start"/><w:spacing w:before="36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December 10, 2021, a class action complaint captioned Somogyi v. Organogenesis Holdings Inc., et al. was filed on behalf of a putative class of all purchasers of our securities against us and our Chief Executive Officer and Chief Financial Officer in the United States District Court for the Eastern District of New York (the Court). The Court appointed Donald Martin as lead plaintiff. Mr. Martin filed an amended complaint on October 24, 2022 that brought claims on behalf of a purported class of all purchasers of our securities from August 10, 2020 through August 9, 2022 and alleged violations of federal securities law in connection with alleged false and misleading statements with respect to, among other matters, revenue, sales growth and ability to compete in connection with our Affinity and PuraPly XT products. The amended complaint alleged violations of the Securities Exchange Act of 1934 and Rule 10b-5 promulgated thereunder, and sought unquantified damages as well as attorneys’ fees, expert fees and other costs. On March 13, 2023, we filed our motion to dismiss the litigation for failure to state a claim upon which relief can be granted, and briefing was completed on May 30, 2023. On March 29, 2024, the Court granted, with prejudice, the Company’s motion to dismiss all claims asserted and the plaintiffs did not appeal the Court’s determination.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not a party to any other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Investing in our Class A common stock involves a high degree of risk. Our Annual Report on Form 10-K for the year ended December 31, 2023, includes a detailed discussion of our risk factors under the heading “Part I, Item 1A—Risk Factors.” Except as set forth below, there have been no material changes from such risk factors during the quarter ended March 31, 2024. You should consider carefully the risk factors discussed in our Annual Report on Form 10-K for the year ended December 31, 2023, and all other information contained in or incorporated by reference in this Quarterly Report on Form 10-Q before making an investment decision. If any of the risks discussed in the Annual Report on Form 10-K for the year ended December 31, 2023,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Seven MACs recently published new proposed LCDs, for skin substitute grafts/CTPs for the treatment of DFUs and VLUs in the Medicare population that list certain of our products as non-covered. If the final LCDs include this non-coverage determination, it could, at least in the near term, have a material adverse effect on utilization of these products, our business and our revenue.</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(CGS, WPS, NGS, Palmetto, Novitas, First Coast Services, and Noridian) published new proposed LCDs for skin substitute grafts/CTPs for the treatment of DFUs and VLUs in the Medicare population. While our Affinity, Apligraf and Dermagraft products remain covered, the LCDs classify our PuraPly, Novachor, TransCyte, NuShield and CYGNUS products as “non-covered.” If the final LCDs do not include coverage for these products, it would present a significant amount of uncertainty, at least in the near term, regarding future revenue for these products. Although we are engaging with the MACs to provide clinical evidence for these non-covered products demonstrating their efficacy for the treatment of DFUs and VLUs, there is no guarantee that the MACs will agree to cover these products in the final LCDs. If these products are not covered in the final LCDs, it could, at least in the near term, materially and adversely impact utilization of these products, our business and our revenue.</w:t></w:r></w:p><w:p><w:pPr><w:jc w:val="start"/><w:spacing w:before="36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center"/><w:spacing w:before="240" w:after="0"/></w:pPr><w:r><w:rPr><w:rFonts w:ascii="Times New Roman" w:hAnsi="Times New Roman" w:eastAsia="Times New Roman" w:cs="Times New Roman"/><w:color w:val="000000"/><w:sz w:val="20"/><w:szCs w:val="20"/></w:rPr><w:t xml:space="preserve">28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Not Applicable.</w:t></w:r></w:p><w:p><w:pPr><w:jc w:val="start"/><w:spacing w:before="36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March 31, 2024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director or officer of the Company other than Antonio S. Montecalvo, the Company’s Vice President, Health Policy, adopted or terminated a “Rule 10b5-1 trading arrangement” or “non-rule 10b5-1 trading arrangement,” as each term is defined in item 408(a) of Regulation S-K. On March 16, 2024, Mr. Montecalvo </w:t></w:r><w:r><w:rPr><w:rFonts w:ascii="Times New Roman" w:hAnsi="Times New Roman" w:eastAsia="Times New Roman" w:cs="Times New Roman"/><w:color w:val="000000"/><w:sz w:val="20"/><w:szCs w:val="20"/></w:rPr><w:t xml:space="preserve">adopted</w:t></w:r><w:r><w:rPr><w:rFonts w:ascii="Times New Roman" w:hAnsi="Times New Roman" w:eastAsia="Times New Roman" w:cs="Times New Roman"/><w:color w:val="000000"/><w:sz w:val="20"/><w:szCs w:val="20"/></w:rPr><w:t xml:space="preserve"> a trading plan intended to satisfy Rule 10b5-1(c) to sell up to </w:t></w:r><w:r><w:rPr><w:rFonts w:ascii="Times New Roman" w:hAnsi="Times New Roman" w:eastAsia="Times New Roman" w:cs="Times New Roman"/><w:color w:val="000000"/><w:sz w:val="20"/><w:szCs w:val="20"/></w:rPr><w:t xml:space="preserve">32,733</w:t></w:r><w:r><w:rPr><w:rFonts w:ascii="Times New Roman" w:hAnsi="Times New Roman" w:eastAsia="Times New Roman" w:cs="Times New Roman"/><w:color w:val="000000"/><w:sz w:val="20"/><w:szCs w:val="20"/></w:rPr><w:t xml:space="preserve"> shares of the Company’s Class A common stock and up to </w:t></w:r><w:r><w:rPr><w:rFonts w:ascii="Times New Roman" w:hAnsi="Times New Roman" w:eastAsia="Times New Roman" w:cs="Times New Roman"/><w:color w:val="000000"/><w:sz w:val="20"/><w:szCs w:val="20"/></w:rPr><w:t xml:space="preserve">250,000</w:t></w:r><w:r><w:rPr><w:rFonts w:ascii="Times New Roman" w:hAnsi="Times New Roman" w:eastAsia="Times New Roman" w:cs="Times New Roman"/><w:color w:val="000000"/><w:sz w:val="20"/><w:szCs w:val="20"/></w:rPr><w:t xml:space="preserve"> shares of the Company’s Class A common stock issuable upon exercise of vested options between June 14, 2024 and March 14, 2025, subject to certain conditions.</w:t></w:r></w:p><w:p><w:pPr><w:jc w:val="center"/><w:spacing w:before="240" w:after="0"/></w:pPr><w:r><w:rPr><w:rFonts w:ascii="Times New Roman" w:hAnsi="Times New Roman" w:eastAsia="Times New Roman" w:cs="Times New Roman"/><w:color w:val="000000"/><w:sz w:val="20"/><w:szCs w:val="20"/></w:rPr><w:t xml:space="preserve">29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Exhibit</w:t></w:r></w:p><w:p><w:pPr><w:jc w:val="center"/><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rPr><w:t xml:space="preserve"> </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rPr><w:t xml:space="preserve"> </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center"/><w:noWrap/></w:tcPr><w:p><w:pPr><w:jc w:val="start"/><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Instance Document XBRL</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Schema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Calculation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Definition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Label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Presentation Linkbase Document</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Cover Page Interactive Data File (formatted as Inline XBRL and contained in Exhibit 101)</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12"/><w:szCs w:val="12"/></w:rPr><w:t xml:space="preserve"> </w:t></w:r></w:p><w:p><w:pPr><w:jc w:val="start"/><w:spacing w:before="40" w:after="0"/></w:pPr><w:r><w:rPr><w:rFonts w:ascii="Times New Roman" w:hAnsi="Times New Roman" w:eastAsia="Times New Roman" w:cs="Times New Roman"/><w:color w:val="000000"/><w:sz w:val="20"/><w:szCs w:val="20"/><w:i w:val="1"/><w:iCs w:val="1"/></w:rPr><w:t xml:space="preserve"> Filed herewith</w:t></w:r></w:p><w:p><w:pPr><w:jc w:val="start"/><w:spacing w:before="4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color w:val="000000"/><w:sz w:val="20"/><w:szCs w:val="2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Dated: May 9, 2024</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rPr><w:t xml:space="preserve">(Registrant)</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rPr><w:t xml:space="preserve">/s/ David Francisco</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(Principal Financial and Accounting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31</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119312519245823/d772464dex32.htm" TargetMode="External"/><Relationship Id="rId30" Type="http://schemas.openxmlformats.org/officeDocument/2006/relationships/hyperlink" Target="orgo-ex31_1.htm" TargetMode="External"/><Relationship Id="rId31" Type="http://schemas.openxmlformats.org/officeDocument/2006/relationships/hyperlink" Target="orgo-ex31_2.htm" TargetMode="External"/><Relationship Id="rId32"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2026-08-07T06:17:13-04:00</dcterms:created>
  <dcterms:modified xsi:type="dcterms:W3CDTF">2026-08-07T06:17:13-04:00</dcterms:modified>
</cp:coreProperties>
</file>

<file path=docProps/custom.xml><?xml version="1.0" encoding="utf-8"?>
<Properties xmlns="http://schemas.openxmlformats.org/officeDocument/2006/custom-properties" xmlns:vt="http://schemas.openxmlformats.org/officeDocument/2006/docPropsVTypes"/>
</file>