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end"/><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8"/><w:szCs w:val="8"/></w:rPr><w:t xml:space="preserve"> </w:t></w:r></w:p><w:p><w:pPr><w:jc w:val="center"/><w:spacing w:before="0" w:after="0"/></w:pPr><w:r><w:rPr><w:rFonts w:ascii="Times New Roman" w:hAnsi="Times New Roman" w:eastAsia="Times New Roman" w:cs="Times New Roman"/><w:sz w:val="8"/><w:szCs w:val="8"/></w:rPr><w:t xml:space="preserve"> </w:t></w:r></w:p><w:p><w:pPr><w:jc w:val="center"/><w:spacing w:before="40" w:after="0"/></w:pPr><w:r><w:rPr><w:rFonts w:ascii="Times New Roman" w:hAnsi="Times New Roman" w:eastAsia="Times New Roman" w:cs="Times New Roman"/><w:color w:val="000000"/><w:sz w:val="36"/><w:szCs w:val="36"/><w:b w:val="1"/><w:bCs w:val="1"/></w:rPr><w:t xml:space="preserve">UNITED STATES</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36"/><w:szCs w:val="36"/><w:b w:val="1"/><w:bCs w:val="1"/></w:rPr><w:t xml:space="preserve">SECURITIES AND EXCHANGE COMMISSION</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22"/><w:szCs w:val="22"/><w:b w:val="1"/><w:bCs w:val="1"/></w:rPr><w:t xml:space="preserve">WASHINGTON</w:t></w:r><w:r><w:rPr><w:rFonts w:ascii="Times New Roman" w:hAnsi="Times New Roman" w:eastAsia="Times New Roman" w:cs="Times New Roman"/><w:color w:val="000000"/><w:sz w:val="24"/><w:szCs w:val="24"/><w:b w:val="1"/><w:bCs w:val="1"/></w:rPr><w:t xml:space="preserve">, DC 20549</w:t></w:r><w:r><w:rPr><w:rFonts w:ascii="Times New Roman" w:hAnsi="Times New Roman" w:eastAsia="Times New Roman" w:cs="Times New Roman"/><w:color w:val="000000"/><w:sz w:val="24"/><w:szCs w:val="24"/><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36"/><w:szCs w:val="36"/><w:b w:val="1"/><w:bCs w:val="1"/></w:rPr><w:t xml:space="preserve">FORM </w:t></w:r><w:r><w:rPr><w:rFonts w:ascii="Times New Roman" w:hAnsi="Times New Roman" w:eastAsia="Times New Roman" w:cs="Times New Roman"/><w:color w:val="000000"/><w:sz w:val="36"/><w:szCs w:val="36"/><w:b w:val="1"/><w:bCs w:val="1"/></w:rPr><w:t xml:space="preserve">10-Q</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20"/><w:szCs w:val="20"/><w:b w:val="1"/><w:bCs w:val="1"/></w:rPr><w:t xml:space="preserve">(Mark One)</w:t></w:r><w:r><w:rPr><w:rFonts w:ascii="Times New Roman" w:hAnsi="Times New Roman" w:eastAsia="Times New Roman" w:cs="Times New Roman"/><w:color w:val="000000"/><w:sz w:val="20"/><w:szCs w:val="20"/><w:b w:val="1"/><w:bCs w:val="1"/></w:rPr><w:t xml:space="preserve"> </w:t></w:r></w:p><w:p><w:pPr><w:jc w:val="start"/><w:spacing w:before="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QUARTERLY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For the Quarterly Period Ended </w:t></w:r><w:r><w:rPr><w:rFonts w:ascii="Times New Roman" w:hAnsi="Times New Roman" w:eastAsia="Times New Roman" w:cs="Times New Roman"/><w:color w:val="000000"/><w:sz w:val="20"/><w:szCs w:val="20"/><w:b w:val="1"/><w:bCs w:val="1"/></w:rPr><w:t xml:space="preserve">June 30, </w:t></w:r><w:r><w:rPr><w:rFonts w:ascii="Times New Roman" w:hAnsi="Times New Roman" w:eastAsia="Times New Roman" w:cs="Times New Roman"/><w:color w:val="000000"/><w:sz w:val="20"/><w:szCs w:val="20"/><w:b w:val="1"/><w:bCs w:val="1"/></w:rPr><w:t xml:space="preserve">2024</w:t></w:r></w:p><w:p><w:pPr><w:jc w:val="center"/><w:spacing w:before="80" w:after="0"/></w:pPr><w:r><w:rPr><w:rFonts w:ascii="Times New Roman" w:hAnsi="Times New Roman" w:eastAsia="Times New Roman" w:cs="Times New Roman"/><w:color w:val="000000"/><w:sz w:val="20"/><w:szCs w:val="20"/><w:b w:val="1"/><w:bCs w:val="1"/></w:rPr><w:t xml:space="preserve">OR</w:t></w:r><w:r><w:rPr><w:rFonts w:ascii="Times New Roman" w:hAnsi="Times New Roman" w:eastAsia="Times New Roman" w:cs="Times New Roman"/><w:color w:val="000000"/><w:sz w:val="20"/><w:szCs w:val="20"/><w:b w:val="1"/><w:bCs w:val="1"/></w:rPr><w:t xml:space="preserve"> </w:t></w:r></w:p><w:p><w:pPr><w:jc w:val="start"/><w:spacing w:before="8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TRANSITION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Commission File Number </w:t></w:r><w:r><w:rPr><w:rFonts w:ascii="Times New Roman" w:hAnsi="Times New Roman" w:eastAsia="Times New Roman" w:cs="Times New Roman"/><w:color w:val="000000"/><w:sz w:val="20"/><w:szCs w:val="20"/><w:b w:val="1"/><w:bCs w:val="1"/></w:rPr><w:t xml:space="preserve">001-37906</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46"/><w:szCs w:val="46"/><w:b w:val="1"/><w:bCs w:val="1"/></w:rPr><w:t xml:space="preserve">ORGANOGENESIS HOLDINGS INC.</w:t></w:r><w:r><w:rPr><w:rFonts w:ascii="Times New Roman" w:hAnsi="Times New Roman" w:eastAsia="Times New Roman" w:cs="Times New Roman"/><w:color w:val="000000"/><w:sz w:val="46"/><w:szCs w:val="46"/><w:b w:val="1"/><w:bCs w:val="1"/></w:rPr><w:t xml:space="preserve"> </w:t></w:r></w:p><w:p><w:pPr><w:jc w:val="center"/><w:spacing w:before="0" w:after="0"/></w:pPr><w:r><w:rPr><w:rFonts w:ascii="Times New Roman" w:hAnsi="Times New Roman" w:eastAsia="Times New Roman" w:cs="Times New Roman"/><w:color w:val="000000"/><w:sz w:val="20"/><w:szCs w:val="20"/><w:b w:val="1"/><w:bCs w:val="1"/></w:rPr><w:t xml:space="preserve">(Exact Name of Registrant as Specified in Its Charter)</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start"/><w:spacing w:before="0" w:after="0"/></w:pPr><w:r><w:rPr><w:rFonts w:ascii="Times New Roman" w:hAnsi="Times New Roman" w:eastAsia="Times New Roman" w:cs="Times New Roman"/><w:color w:val="000000"/><w:sz w:val="8"/><w:szCs w:val="8"/></w:rPr><w:t xml:space="preserve"> </w:t></w:r></w:p><w:tbl><w:tblGrid><w:gridCol w:w="2500" w:type="dxa"/><w:gridCol w:w="2500" w:type="dxa"/></w:tblGrid><w:tblPr><w:tblW w:w="0" w:type="pct"/><w:tblLayout w:type="autofit"/></w:tblPr><w:tr><w:trPr/><w:tc><w:tcPr><w:tcW w:w="2500" w:type="pct"/><w:noWrap/></w:tcPr><w:p><w:pPr/></w:p></w:tc><w:tc><w:tcPr><w:tcW w:w="2500" w:type="pct"/><w:noWrap/></w:tcPr><w:p><w:pP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Delaware</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98-1329150</w:t></w:r></w:p></w:tc></w:tr><w:tr><w:trPr><w:trHeight w:val="160" w:hRule="exact"/></w:trPr><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(State or Other Jurisdiction of</w:t></w:r></w:p><w:p><w:pPr><w:jc w:val="center"/><w:spacing w:before="0" w:after="20"/></w:pPr><w:r><w:rPr><w:rFonts w:ascii="Times New Roman" w:hAnsi="Times New Roman" w:eastAsia="Times New Roman" w:cs="Times New Roman"/><w:color w:val="000000"/><w:sz w:val="16"/><w:szCs w:val="16"/><w:b w:val="1"/><w:bCs w:val="1"/></w:rPr><w:t xml:space="preserve">Incorporation or Organization)</w:t></w:r></w:p></w:tc><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(I.R.S. Employer</w:t></w:r></w:p><w:p><w:pPr><w:jc w:val="center"/><w:spacing w:before="0" w:after="20"/></w:pPr><w:r><w:rPr><w:rFonts w:ascii="Times New Roman" w:hAnsi="Times New Roman" w:eastAsia="Times New Roman" w:cs="Times New Roman"/><w:color w:val="000000"/><w:sz w:val="16"/><w:szCs w:val="16"/><w:b w:val="1"/><w:bCs w:val="1"/></w:rPr><w:t xml:space="preserve">Identification No.)</w:t></w:r></w:p></w:tc></w:tr><w:tr><w:trPr/><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85 Dan Road</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Canton</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MA</w:t></w:r><w:r><w:rPr><w:rFonts w:ascii="Times New Roman" w:hAnsi="Times New Roman" w:eastAsia="Times New Roman" w:cs="Times New Roman"/><w:color w:val="000000"/><w:sz w:val="20"/><w:szCs w:val="20"/><w:b w:val="1"/><w:bCs w:val="1"/></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1"/><w:bCs w:val="1"/></w:rPr><w:t xml:space="preserve">02021</w:t></w:r></w:p></w:tc></w:tr><w:tr><w:trPr><w:trHeight w:val="160" w:hRule="exact"/></w:trPr><w:tc><w:tcPr><w:tcW w:w="0" w:type="pct"/><w:vAlign w:val="top"/><w:noWrap/></w:tcPr><w:p><w:pPr><w:jc w:val="start"/><w:spacing w:before="0" w:after="0"/></w:pPr><w:r><w:rPr><w:rFonts w:ascii="Times New Roman" w:hAnsi="Times New Roman" w:eastAsia="Times New Roman" w:cs="Times New Roman"/><w:color w:val="000000"/><w:sz w:val="16"/><w:szCs w:val="16"/><w:b w:val="1"/><w:bCs w:val="1"/></w:rPr><w:t xml:space="preserve">                                    (Address of principal executive offices)</w:t></w:r></w:p></w:tc><w:tc><w:tcPr><w:tcW w:w="0" w:type="pct"/><w:vAlign w:val="top"/><w:noWrap/></w:tcPr><w:p><w:pPr><w:jc w:val="start"/><w:ind w:left="0" w:right="0" w:firstLine="0" w:hanging="0"/><w:spacing w:before="0" w:after="0"/></w:pPr><w:r><w:rPr><w:rFonts w:ascii="Times New Roman" w:hAnsi="Times New Roman" w:eastAsia="Times New Roman" w:cs="Times New Roman"/><w:color w:val="000000"/><w:sz w:val="16"/><w:szCs w:val="16"/><w:b w:val="1"/><w:bCs w:val="1"/></w:rPr><w:t xml:space="preserve">(Zip Code)</w:t></w:r></w:p></w:tc></w:tr></w:tbl><w:p><w:pPr><w:jc w:val="center"/><w:spacing w:before="0" w:after="0"/></w:pPr><w:r><w:rPr><w:rFonts w:ascii="Times New Roman" w:hAnsi="Times New Roman" w:eastAsia="Times New Roman" w:cs="Times New Roman"/><w:sz w:val="16"/><w:szCs w:val="16"/></w:rPr><w:t xml:space="preserve"> </w:t></w:r></w:p><w:p><w:pPr><w:jc w:val="center"/><w:spacing w:before="40" w:after="0"/></w:pPr><w:r><w:rPr><w:rFonts w:ascii="Times New Roman" w:hAnsi="Times New Roman" w:eastAsia="Times New Roman" w:cs="Times New Roman"/><w:color w:val="000000"/><w:sz w:val="20"/><w:szCs w:val="20"/><w:b w:val="1"/><w:bCs w:val="1"/></w:rPr><w:t xml:space="preserve">(</w:t></w:r><w:r><w:rPr><w:rFonts w:ascii="Times New Roman" w:hAnsi="Times New Roman" w:eastAsia="Times New Roman" w:cs="Times New Roman"/><w:color w:val="000000"/><w:sz w:val="20"/><w:szCs w:val="20"/><w:b w:val="1"/><w:bCs w:val="1"/></w:rPr><w:t xml:space="preserve">781</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575-0775</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16"/><w:szCs w:val="16"/><w:b w:val="1"/><w:bCs w:val="1"/></w:rPr><w:t xml:space="preserve">(Registrant’s Telephone Number, Including Area Code)</w:t></w:r><w:r><w:rPr><w:rFonts w:ascii="Times New Roman" w:hAnsi="Times New Roman" w:eastAsia="Times New Roman" w:cs="Times New Roman"/><w:color w:val="000000"/><w:sz w:val="16"/><w:szCs w:val="16"/><w:b w:val="1"/><w:bCs w:val="1"/></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color w:val="000000"/><w:sz w:val="16"/><w:szCs w:val="16"/><w:b w:val="1"/><w:bCs w:val="1"/></w:rPr><w:t xml:space="preserve">Not Applicable</w:t></w:r></w:p><w:p><w:pPr><w:jc w:val="center"/><w:spacing w:before="0" w:after="0"/></w:pPr><w:r><w:rPr><w:rFonts w:ascii="Times New Roman" w:hAnsi="Times New Roman" w:eastAsia="Times New Roman" w:cs="Times New Roman"/><w:color w:val="000000"/><w:sz w:val="16"/><w:szCs w:val="16"/><w:b w:val="1"/><w:bCs w:val="1"/></w:rPr><w:t xml:space="preserve">(Former name, former address and former fiscal year, if changed since last report)</w:t></w:r></w:p><w:p><w:pPr><w:jc w:val="center"/><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12"/><w:szCs w:val="12"/></w:rPr><w:t xml:space="preserve"> </w:t></w:r></w:p><w:p><w:pPr><w:jc w:val="center"/><w:spacing w:before="40" w:after="0"/></w:pPr><w:r><w:rPr><w:rFonts w:ascii="Times New Roman" w:hAnsi="Times New Roman" w:eastAsia="Times New Roman" w:cs="Times New Roman"/><w:color w:val="000000"/><w:sz w:val="20"/><w:szCs w:val="20"/><w:b w:val="1"/><w:bCs w:val="1"/></w:rPr><w:t xml:space="preserve">Securities registered pursuant to Section 12(b) of the Act:</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color w:val="000000"/><w:sz w:val="12"/><w:szCs w:val="12"/></w:rPr><w:t xml:space="preserve"> </w:t></w:r></w:p><w:tbl><w:tblGrid><w:gridCol w:w="4900" w:type="dxa"/><w:gridCol w:w="50" w:type="dxa"/><w:gridCol w:w="450" w:type="dxa"/><w:gridCol w:w="50" w:type="dxa"/><w:gridCol w:w="600" w:type="dxa"/></w:tblGrid><w:tblPr><w:tblW w:w="0" w:type="pct"/><w:tblLayout w:type="autofit"/></w:tblPr><w:tr><w:trPr/><w:tc><w:tcPr><w:tcW w:w="4900" w:type="pct"/><w:noWrap/></w:tcPr><w:p><w:pPr/></w:p></w:tc><w:tc><w:tcPr><w:tcW w:w="50" w:type="pct"/><w:noWrap/></w:tcPr><w:p><w:pPr/></w:p></w:tc><w:tc><w:tcPr><w:tcW w:w="450" w:type="pct"/><w:noWrap/></w:tcPr><w:p><w:pPr/></w:p></w:tc><w:tc><w:tcPr><w:tcW w:w="50" w:type="pct"/><w:noWrap/></w:tcPr><w:p><w:pPr/></w:p></w:tc><w:tc><w:tcPr><w:tcW w:w="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Title of each class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Trading Symbol(s)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Name of each exchange on which registered</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Class A Common Stock, $0.0001 par value</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ORGO</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Nasdaq</w:t></w:r><w:r><w:rPr><w:rFonts w:ascii="Times New Roman" w:hAnsi="Times New Roman" w:eastAsia="Times New Roman" w:cs="Times New Roman"/><w:color w:val="000000"/><w:sz w:val="20"/><w:szCs w:val="20"/><w:b w:val="1"/><w:bCs w:val="1"/></w:rPr><w:t xml:space="preserve"> Capital Market</w:t></w:r></w:p></w:tc></w:tr></w:tbl><w:p><w:pPr><w:jc w:val="start"/><w:spacing w:before="0" w:after="0"/></w:pPr><w:r><w:rPr><w:rFonts w:ascii="Times New Roman" w:hAnsi="Times New Roman" w:eastAsia="Times New Roman" w:cs="Times New Roman"/><w:sz w:val="12"/><w:szCs w:val="12"/></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12"/><w:szCs w:val="12"/></w:rPr><w:t xml:space="preserve"> </w:t></w:r></w:p><w:tbl><w:tblGrid><w:gridCol w:w="1150" w:type="dxa"/><w:gridCol w:w="600" w:type="dxa"/><w:gridCol w:w="12200" w:type="dxa"/><w:gridCol w:w="36050" w:type="dxa"/></w:tblGrid><w:tblPr><w:tblW w:w="0" w:type="pct"/><w:tblLayout w:type="autofit"/></w:tblPr><w:tr><w:trPr/><w:tc><w:tcPr><w:tcW w:w="1150" w:type="pct"/><w:noWrap/></w:tcPr><w:p><w:pPr/></w:p></w:tc><w:tc><w:tcPr><w:tcW w:w="600" w:type="pct"/><w:noWrap/></w:tcPr><w:p><w:pPr/></w:p></w:tc><w:tc><w:tcPr><w:tcW w:w="12200" w:type="pct"/><w:noWrap/></w:tcPr><w:p><w:pPr/></w:p></w:tc><w:tc><w:tcPr><w:tcW w:w="36050" w:type="pct"/><w:noWrap/></w:tcPr><w:p><w:pP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Large 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Non-accelerated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Smaller reporting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Emerging growth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bl><w:p><w:pPr><w:jc w:val="start"/><w:ind w:left="0" w:right="0" w:firstLine="0" w:hanging="0"/><w:spacing w:before="40" w:after="0"/></w:pPr><w:r><w:rPr><w:rFonts w:ascii="Times New Roman" w:hAnsi="Times New Roman" w:eastAsia="Times New Roman" w:cs="Times New Roman"/><w:color w:val="000000"/><w:sz w:val="16"/><w:szCs w:val="16"/></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shell company (as defined in Rule 12b-2 of the Exchange Act).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8"/><w:szCs w:val="8"/></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The number of shares of the registrant’s Class A common stock outstanding as of July 31, 2024</w:t></w:r><w:r><w:rPr><w:rFonts w:ascii="Times New Roman" w:hAnsi="Times New Roman" w:eastAsia="Times New Roman" w:cs="Times New Roman"/><w:color w:val="000000"/><w:sz w:val="16"/><w:szCs w:val="16"/></w:rPr><w:t xml:space="preserve"> was </w:t></w:r><w:r><w:rPr><w:rFonts w:ascii="Times New Roman" w:hAnsi="Times New Roman" w:eastAsia="Times New Roman" w:cs="Times New Roman"/><w:color w:val="000000"/><w:sz w:val="16"/><w:szCs w:val="16"/></w:rPr><w:t xml:space="preserve">132,575,002</w:t></w:r><w:r><w:rPr><w:rFonts w:ascii="Times New Roman" w:hAnsi="Times New Roman" w:eastAsia="Times New Roman" w:cs="Times New Roman"/><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sz w:val="8"/><w:szCs w:val="8"/></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4"/><w:szCs w:val="24"/></w:rPr><w:t xml:space="preserve"> </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Quarterly Report on Form 10-Q</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For the Quarterly Period Ended June 30, 2024</w:t></w:r></w:p><w:p><w:pPr><w:jc w:val="center"/><w:spacing w:before="240" w:after="0"/></w:pPr><w:r><w:rPr><w:rFonts w:ascii="Times New Roman" w:hAnsi="Times New Roman" w:eastAsia="Times New Roman" w:cs="Times New Roman"/><w:color w:val="000000"/><w:sz w:val="20"/><w:szCs w:val="20"/><w:b w:val="1"/><w:bCs w:val="1"/></w:rPr><w:t xml:space="preserve">Table o</w:t></w:r><w:r><w:rPr><w:rFonts w:ascii="Times New Roman" w:hAnsi="Times New Roman" w:eastAsia="Times New Roman" w:cs="Times New Roman"/><w:color w:val="000000"/><w:sz w:val="20"/><w:szCs w:val="20"/><w:b w:val="1"/><w:bCs w:val="1"/></w:rPr><w:t xml:space="preserve">f Contents</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sz w:val="24"/><w:szCs w:val="24"/></w:rPr><w:t xml:space="preserve"> </w:t></w:r></w:p><w:tbl><w:tblGrid><w:gridCol w:w="350" w:type="dxa"/><w:gridCol w:w="4250" w:type="dxa"/><w:gridCol w:w="400" w:type="dxa"/></w:tblGrid><w:tblPr><w:tblW w:w="0" w:type="pct"/><w:tblLayout w:type="autofit"/></w:tblPr><w:tr><w:trPr/><w:tc><w:tcPr><w:tcW w:w="350" w:type="pct"/><w:noWrap/></w:tcPr><w:p><w:pPr/></w:p></w:tc><w:tc><w:tcPr><w:tcW w:w="4250" w:type="pct"/><w:noWrap/></w:tcPr><w:p><w:pPr/></w:p></w:tc><w:tc><w:tcPr><w:tcW w:w="400" w:type="pct"/><w:noWrap/></w:tcPr><w:p><w:pPr/></w:p></w:tc></w:tr><w:tr><w:trPr><w:trHeight w:val="160" w:hRule="exact"/></w:trPr><w:tc><w:tcPr><w:tcW w:w="0" w:type="pct"/><w:vAlign w:val="bottom"/><w:gridSpan w:val="2"/><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Page</w:t></w:r></w:p></w:tc></w:tr><w:tr><w:trPr><w:trHeight w:val="200" w:hRule="exact"/></w:trPr><w:tc><w:tcPr><w:tcW w:w="0" w:type="pct"/><w:vAlign w:val="top"/><w:gridSpan w:val="2"/><w:noWrap/></w:tcPr><w:p><w:pPr><w:jc w:val="start"/><w:ind w:left="0" w:right="0" w:firstLine="240" w:hanging="0"/><w:spacing w:before="0" w:after="0"/></w:pPr><w:hyperlink w:anchor="part_ifinancial_information" w:history="1"><w:r><w:rPr/><w:t xml:space="preserve">PART I. FINANCIAL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4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unaudited_consolidated_financial_" w:history="1"><w:r><w:rPr/><w:t xml:space="preserve">Unaudited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balance_sheets" w:history="1"><w:r><w:rPr/><w:t xml:space="preserve">Condensed Consolidated Balance Sheets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operations" w:history="1"><w:r><w:rPr/><w:t xml:space="preserve">Condensed Consolidated Statements of Operations and Comprehensive Income (Loss)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5</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redeemable_commo" w:history="1"><w:r><w:rPr/><w:t xml:space="preserve">Condensed Consolidated Statements of Stockholders’ Equity</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6</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cash_flows" w:history="1"><w:r><w:rPr/><w:t xml:space="preserve">Condensed Consolidated Statements of Cash Flows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7</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notes_to_unaudited_consolidated_financia" w:history="1"><w:r><w:rPr/><w:t xml:space="preserve">Notes to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8</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managements_discussion_analysis_f" w:history="1"><w:r><w:rPr/><w:t xml:space="preserve">Management’s Discussion and Analysis of Financial Condition and Results of Operations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quantitative_qualitative_disclosu" w:history="1"><w:r><w:rPr/><w:t xml:space="preserve">Quantitative and Qualitative Disclosures About Market Risk</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controls_procedures" w:history="1"><w:r><w:rPr/><w:t xml:space="preserve">Controls and Procedures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29</w:t></w:r></w:p></w:tc></w:tr><w:tr><w:trPr/><w:tc><w:tcPr><w:tcW w:w="0" w:type="pct"/><w:vAlign w:val="top"/><w:gridSpan w:val="2"/><w:noWrap/></w:tcPr><w:p><w:pPr><w:jc w:val="start"/><w:ind w:left="0" w:right="0" w:firstLine="24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240" w:hanging="0"/><w:spacing w:before="0" w:after="0"/></w:pPr><w:hyperlink w:anchor="part_ii_or_information" w:history="1"><w:r><w:rPr/><w:t xml:space="preserve">PART II. OTHER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legal_proceedings" w:history="1"><w:r><w:rPr/><w:t xml:space="preserve">Legal Proceedings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1A</w:t></w:r></w:p></w:tc><w:tc><w:tcPr><w:tcW w:w="0" w:type="pct"/><w:vAlign w:val="bottom"/><w:noWrap/></w:tcPr><w:p><w:pPr><w:jc w:val="start"/><w:ind w:left="0" w:right="0" w:firstLine="0" w:hanging="0"/><w:spacing w:before="0" w:after="0"/></w:pPr><w:hyperlink w:anchor="item_1a_risk_factors" w:history="1"><w:r><w:rPr/><w:t xml:space="preserve">Risk Factors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unregistered_sales_equity_securit" w:history="1"><w:r><w:rPr/><w:t xml:space="preserve">Unregistered Sales of Equity Securities and Use of Proceeds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defaults_upon_senior_securities" w:history="1"><w:r><w:rPr/><w:t xml:space="preserve">Defaults Upon Senior Securities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mine_safety_disclosures" w:history="1"><w:r><w:rPr/><w:t xml:space="preserve">Mine Safety Disclosures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31</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5.</w:t></w:r></w:p></w:tc><w:tc><w:tcPr><w:tcW w:w="0" w:type="pct"/><w:vAlign w:val="bottom"/><w:noWrap/></w:tcPr><w:p><w:pPr><w:jc w:val="start"/><w:ind w:left="0" w:right="0" w:firstLine="0" w:hanging="0"/><w:spacing w:before="0" w:after="0"/></w:pPr><w:hyperlink w:anchor="item_5_or_information" w:history="1"><w:r><w:rPr/><w:t xml:space="preserve">Other Information</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31</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6.</w:t></w:r></w:p></w:tc><w:tc><w:tcPr><w:tcW w:w="0" w:type="pct"/><w:vAlign w:val="bottom"/><w:noWrap/></w:tcPr><w:p><w:pPr><w:jc w:val="start"/><w:ind w:left="0" w:right="0" w:firstLine="0" w:hanging="0"/><w:spacing w:before="0" w:after="0"/></w:pPr><w:hyperlink w:anchor="item_6_exhibits" w:history="1"><w:r><w:rPr/><w:t xml:space="preserve">Exhibits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32</w:t></w:r></w:p></w:tc></w:tr><w:tr><w:trPr/><w:tc><w:tcPr><w:tcW w:w="0" w:type="pct"/><w:vAlign w:val="top"/><w:gridSpan w:val="2"/><w:noWrap/></w:tcPr><w:p><w:pPr><w:jc w:val="start"/><w:ind w:left="0" w:right="0" w:firstLine="24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240" w:hanging="0"/><w:spacing w:before="0" w:after="0"/></w:pPr><w:hyperlink w:anchor="signatures" w:history="1"><w:r><w:rPr/><w:t xml:space="preserve">SIGNATURES</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33</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CAUTIONARY NOTE REGARDING FORWARD-LOOKING STATEMENTS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clinical development and commercialization of our product candidates,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2023.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used herein, except as otherwise indicated by context, references to “we,” “us,” “our,” “the Company,” “Organogenesis” and “ORGO” will refer to Organogenesis Holdings Inc. and its subsidiaries.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w:szCs w:val="2"/></w:rPr><w:t xml:space="preserve"> </w:t></w:r><w:r><w:rPr><w:rFonts w:ascii="Times New Roman" w:hAnsi="Times New Roman" w:eastAsia="Times New Roman" w:cs="Times New Roman"/><w:color w:val="000000"/><w:sz w:val="20"/><w:szCs w:val="20"/><w:b w:val="1"/><w:bCs w:val="1"/></w:rPr><w:t xml:space="preserve">PART I—FINANCI</w:t></w:r><w:r><w:rPr><w:rFonts w:ascii="Times New Roman" w:hAnsi="Times New Roman" w:eastAsia="Times New Roman" w:cs="Times New Roman"/><w:color w:val="000000"/><w:sz w:val="20"/><w:szCs w:val="20"/><w:b w:val="1"/><w:bCs w:val="1"/></w:rPr><w:t xml:space="preserve">AL INFORMATION</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color w:val="000000"/><w:sz w:val="20"/><w:szCs w:val="20"/><w:b w:val="1"/><w:bCs w:val="1"/></w:rPr><w:t xml:space="preserve">Item 1. Unaudited Condensed Consolida</w:t></w:r><w:r><w:rPr><w:rFonts w:ascii="Times New Roman" w:hAnsi="Times New Roman" w:eastAsia="Times New Roman" w:cs="Times New Roman"/><w:color w:val="000000"/><w:sz w:val="20"/><w:szCs w:val="20"/><w:b w:val="1"/><w:bCs w:val="1"/></w:rPr><w:t xml:space="preserve">ted Financial Statements.</w:t></w:r><w:r><w:rPr><w:rFonts w:ascii="Times New Roman" w:hAnsi="Times New Roman" w:eastAsia="Times New Roman" w:cs="Times New Roman"/><w:color w:val="000000"/><w:sz w:val="20"/><w:szCs w:val="20"/><w:b w:val="1"/><w:bCs w:val="1"/></w:rPr><w:t xml:space="preserve"> </w:t></w:r></w:p><w:p><w:pPr><w:jc w:val="center"/><w:spacing w:before="24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BA</w:t></w:r><w:r><w:rPr><w:rFonts w:ascii="Times New Roman" w:hAnsi="Times New Roman" w:eastAsia="Times New Roman" w:cs="Times New Roman"/><w:color w:val="000000"/><w:sz w:val="20"/><w:szCs w:val="20"/><w:b w:val="1"/><w:bCs w:val="1"/></w:rPr><w:t xml:space="preserve">LANCE SHEETS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data)</w:t></w:r></w:p><w:tbl><w:tblGrid><w:gridCol w:w="48350" w:type="dxa"/><w:gridCol w:w="2400" w:type="dxa"/><w:gridCol w:w="50" w:type="dxa"/><w:gridCol w:w="1850" w:type="dxa"/><w:gridCol w:w="50" w:type="dxa"/><w:gridCol w:w="2400" w:type="dxa"/><w:gridCol w:w="50" w:type="dxa"/><w:gridCol w:w="1850" w:type="dxa"/><w:gridCol w:w="50" w:type="dxa"/></w:tblGrid><w:tblPr><w:tblW w:w="0" w:type="pct"/><w:tblLayout w:type="autofit"/></w:tblPr><w:tr><w:trPr/><w:tc><w:tcPr><w:tcW w:w="48350" w:type="pct"/><w:noWrap/></w:tcPr><w:p><w:pPr/></w:p></w:tc><w:tc><w:tcPr><w:tcW w:w="2400" w:type="pct"/><w:noWrap/></w:tcPr><w:p><w:pPr/></w:p></w:tc><w:tc><w:tcPr><w:tcW w:w="50" w:type="pct"/><w:noWrap/></w:tcPr><w:p><w:pPr/></w:p></w:tc><w:tc><w:tcPr><w:tcW w:w="1850" w:type="pct"/><w:noWrap/></w:tcPr><w:p><w:pPr/></w:p></w:tc><w:tc><w:tcPr><w:tcW w:w="50" w:type="pct"/><w:noWrap/></w:tcPr><w:p><w:pPr/></w:p></w:tc><w:tc><w:tcPr><w:tcW w:w="2400" w:type="pct"/><w:noWrap/></w:tcPr><w:p><w:pPr/></w:p></w:tc><w:tc><w:tcPr><w:tcW w:w="50" w:type="pct"/><w:noWrap/></w:tcPr><w:p><w:pPr/></w:p></w:tc><w:tc><w:tcPr><w:tcW w:w="18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assets: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Cash and cash equivalents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89,902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103,840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Restricted cash</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575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 net</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105,945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81,999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 net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26,883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28,253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Prepaid expenses and other current assets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10,889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10,454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current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234,194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225,044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Property and equipment,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89,947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116,228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Intangible assets,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14,136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15,871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Goodwill</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28,772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28,772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lease right-of-use assets,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36,572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40,118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Deferred tax asset,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33,691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28,002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assets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5,851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5,990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assets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443,163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460,025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Liabilities and Stockholders’ Equity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Current liabilities: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Current portion of term loan</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5,758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5,486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finance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1,081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Current portion of operating lease obligations - related party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7,357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8,413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operating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4,081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4,731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29,390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30,724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current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38,016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30,074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current liabilities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85,727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80,509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Term loan,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57,731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60,745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Finance lease obligations, net of current portion</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obligations, net of current portion - related party</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10,139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11,954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lease obligations, net of current portion</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23,483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25,053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Other liabilities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1,268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liabilities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179,662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181,362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Commitments and contingencies</w:t></w:r><w:r><w:rPr><w:rFonts w:ascii="Times New Roman" w:hAnsi="Times New Roman" w:eastAsia="Times New Roman" w:cs="Times New Roman"/><w:color w:val="000000"/><w:sz w:val="16"/><w:szCs w:val="16"/><w:shd w:val="clear" w:fill="cff0fc"/></w:rPr><w:t xml:space="preserve"> (Note 15)</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Stockholders’ equity: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Preferred stock, $</w:t></w:r><w:r><w:rPr><w:rFonts w:ascii="Times New Roman" w:hAnsi="Times New Roman" w:eastAsia="Times New Roman" w:cs="Times New Roman"/><w:color w:val="000000"/><w:sz w:val="16"/><w:szCs w:val="16"/><w:shd w:val="clear" w:fill="cff0fc"/></w:rPr><w:t xml:space="preserve">0.0001</w:t></w:r><w:r><w:rPr><w:rFonts w:ascii="Times New Roman" w:hAnsi="Times New Roman" w:eastAsia="Times New Roman" w:cs="Times New Roman"/><w:color w:val="000000"/><w:sz w:val="16"/><w:szCs w:val="16"/><w:shd w:val="clear" w:fill="cff0fc"/></w:rPr><w:t xml:space="preserve"> par value; </w:t></w:r><w:r><w:rPr><w:rFonts w:ascii="Times New Roman" w:hAnsi="Times New Roman" w:eastAsia="Times New Roman" w:cs="Times New Roman"/><w:color w:val="000000"/><w:sz w:val="16"/><w:szCs w:val="16"/><w:shd w:val="clear" w:fill="cff0fc"/></w:rPr><w:t xml:space="preserve">1,000,000</w:t></w:r><w:r><w:rPr><w:rFonts w:ascii="Times New Roman" w:hAnsi="Times New Roman" w:eastAsia="Times New Roman" w:cs="Times New Roman"/><w:color w:val="000000"/><w:sz w:val="16"/><w:szCs w:val="16"/><w:shd w:val="clear" w:fill="cff0fc"/></w:rPr><w:t xml:space="preserve"> shares authorized; </w:t></w:r><w:r><w:rPr><w:rFonts w:ascii="Times New Roman" w:hAnsi="Times New Roman" w:eastAsia="Times New Roman" w:cs="Times New Roman"/><w:color w:val="000000"/><w:sz w:val="16"/><w:szCs w:val="16"/><w:shd w:val="clear" w:fill="cff0fc"/></w:rPr><w:t xml:space="preserve">none</w:t></w:r><w:r><w:rPr><w:rFonts w:ascii="Times New Roman" w:hAnsi="Times New Roman" w:eastAsia="Times New Roman" w:cs="Times New Roman"/><w:color w:val="000000"/><w:sz w:val="16"/><w:szCs w:val="16"/><w:shd w:val="clear" w:fill="cff0fc"/></w:rPr><w:t xml:space="preserve"> issued</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Common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400,000,000</w:t></w:r><w:r><w:rPr><w:rFonts w:ascii="Times New Roman" w:hAnsi="Times New Roman" w:eastAsia="Times New Roman" w:cs="Times New Roman"/><w:color w:val="000000"/><w:sz w:val="16"/><w:szCs w:val="16"/><w:shd w:val="clear" w:fill="ffffff"/></w:rPr><w:t xml:space="preserve"> shares authorized; </w:t></w:r><w:r><w:rPr><w:rFonts w:ascii="Times New Roman" w:hAnsi="Times New Roman" w:eastAsia="Times New Roman" w:cs="Times New Roman"/><w:color w:val="000000"/><w:sz w:val="16"/><w:szCs w:val="16"/><w:shd w:val="clear" w:fill="ffffff"/></w:rPr><w:t xml:space="preserve">133,302,786</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132,044,944</w:t></w:r><w:r><w:rPr><w:rFonts w:ascii="Times New Roman" w:hAnsi="Times New Roman" w:eastAsia="Times New Roman" w:cs="Times New Roman"/><w:color w:val="000000"/><w:sz w:val="16"/><w:szCs w:val="16"/><w:shd w:val="clear" w:fill="ffffff"/></w:rPr><w:t xml:space="preserve"> shares issued; </w:t></w:r><w:r><w:rPr><w:rFonts w:ascii="Times New Roman" w:hAnsi="Times New Roman" w:eastAsia="Times New Roman" w:cs="Times New Roman"/><w:color w:val="000000"/><w:sz w:val="16"/><w:szCs w:val="16"/><w:shd w:val="clear" w:fill="ffffff"/></w:rPr><w:t xml:space="preserve">132,574,238</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131,316,396</w:t></w:r><w:r><w:rPr><w:rFonts w:ascii="Times New Roman" w:hAnsi="Times New Roman" w:eastAsia="Times New Roman" w:cs="Times New Roman"/><w:color w:val="000000"/><w:sz w:val="16"/><w:szCs w:val="16"/><w:shd w:val="clear" w:fill="ffffff"/></w:rPr><w:t xml:space="preserve"> shares outstanding at June 30, 2024 and December 31, 2023, respectively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Additional paid-in capital</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323,602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319,621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Accumulated deficit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60,114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40,971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stockholders’ equity</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263,501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278,663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liabilities and stockholders’ equity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443,163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460,025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OPERATIONS AND COMPREHENSIVE INCOME (LOSS)</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data)</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4800" w:type="dxa"/><w:gridCol w:w="200" w:type="dxa"/><w:gridCol w:w="50" w:type="dxa"/><w:gridCol w:w="3600" w:type="dxa"/><w:gridCol w:w="50" w:type="dxa"/><w:gridCol w:w="200" w:type="dxa"/><w:gridCol w:w="50" w:type="dxa"/><w:gridCol w:w="3600" w:type="dxa"/><w:gridCol w:w="50" w:type="dxa"/><w:gridCol w:w="200" w:type="dxa"/><w:gridCol w:w="50" w:type="dxa"/><w:gridCol w:w="3600" w:type="dxa"/><w:gridCol w:w="50" w:type="dxa"/><w:gridCol w:w="200" w:type="dxa"/><w:gridCol w:w="50" w:type="dxa"/><w:gridCol w:w="3600" w:type="dxa"/><w:gridCol w:w="50" w:type="dxa"/></w:tblGrid><w:tblPr><w:tblW w:w="0" w:type="pct"/><w:tblLayout w:type="autofit"/></w:tblPr><w:tr><w:trPr/><w:tc><w:tcPr><w:tcW w:w="480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c><w:tcPr><w:tcW w:w="200" w:type="pct"/><w:noWrap/></w:tcPr><w:p><w:pPr/></w:p></w:tc><w:tc><w:tcPr><w:tcW w:w="50" w:type="pct"/><w:noWrap/></w:tcPr><w:p><w:pPr/></w:p></w:tc><w:tc><w:tcPr><w:tcW w:w="3600" w:type="pct"/><w:noWrap/></w:tcPr><w:p><w:pPr/></w:p></w:tc><w:tc><w:tcPr><w:tcW w:w="50" w:type="pct"/><w:noWrap/></w:tcPr><w:p><w:pP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Six Months Ended</w:t></w:r><w:b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revenue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130,234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117,316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240,210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224,958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29,198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26,316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57,894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52,923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Gross profit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101,036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91,000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182,316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172,035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expenses: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76,540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70,317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148,862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144,151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15,587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10,938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28,397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22,140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Impairment of property and construction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Write down of capitalized internal-use software costs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operating expenses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114,928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81,255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200,060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166,291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Income (loss) from operations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13,892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9,745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17,744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5,744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Other expense,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Interest expense,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620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594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1,134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1,243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Other income (expense),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other expense,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648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566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1,139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1,192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income (loss) before income taxes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14,540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9,179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18,883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4,552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Income tax expense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2,503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3,863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260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2,205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income (loss) and comprehensive income (loss)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5,316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19,143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2,347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income (loss) per share: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Basic</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0.13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0.04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0.14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0.02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Diluted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0.13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0.04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0.14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0.02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Weighted-average common shares outstanding</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Basic</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132,573,153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131,293,398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132,217,463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131,189,405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Diluted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132,573,153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133,066,010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132,217,463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132,475,908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STOCKHOLDERS’ EQUITY</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data)</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3100" w:type="dxa"/><w:gridCol w:w="50" w:type="dxa"/><w:gridCol w:w="50" w:type="dxa"/><w:gridCol w:w="2200" w:type="dxa"/><w:gridCol w:w="50" w:type="dxa"/><w:gridCol w:w="700" w:type="dxa"/><w:gridCol w:w="50" w:type="dxa"/><w:gridCol w:w="700" w:type="dxa"/><w:gridCol w:w="50" w:type="dxa"/><w:gridCol w:w="700" w:type="dxa"/><w:gridCol w:w="50" w:type="dxa"/><w:gridCol w:w="700" w:type="dxa"/><w:gridCol w:w="50" w:type="dxa"/><w:gridCol w:w="700" w:type="dxa"/><w:gridCol w:w="50" w:type="dxa"/><w:gridCol w:w="1600" w:type="dxa"/><w:gridCol w:w="50" w:type="dxa"/><w:gridCol w:w="700" w:type="dxa"/><w:gridCol w:w="50" w:type="dxa"/><w:gridCol w:w="3900" w:type="dxa"/><w:gridCol w:w="50" w:type="dxa"/></w:tblGrid><w:tblPr><w:tblW w:w="0" w:type="pct"/><w:tblLayout w:type="autofit"/></w:tblPr><w:tr><w:trPr/><w:tc><w:tcPr><w:tcW w:w="3100" w:type="pct"/><w:noWrap/></w:tcPr><w:p><w:pPr/></w:p></w:tc><w:tc><w:tcPr><w:tcW w:w="50" w:type="pct"/><w:noWrap/></w:tcPr><w:p><w:pPr/></w:p></w:tc><w:tc><w:tcPr><w:tcW w:w="50" w:type="pct"/><w:noWrap/></w:tcPr><w:p><w:pPr/></w:p></w:tc><w:tc><w:tcPr><w:tcW w:w="2200" w:type="pct"/><w:noWrap/></w:tcPr><w:p><w:pPr/></w:p></w:tc><w:tc><w:tcPr><w:tcW w:w="50" w:type="pct"/><w:noWrap/></w:tcPr><w:p><w:pPr/></w:p></w:tc><w:tc><w:tcPr><w:tcW w:w="700" w:type="pct"/><w:noWrap/></w:tcPr><w:p><w:pPr/></w:p></w:tc><w:tc><w:tcPr><w:tcW w:w="50" w:type="pct"/><w:noWrap/></w:tcPr><w:p><w:pPr/></w:p></w:tc><w:tc><w:tcPr><w:tcW w:w="700" w:type="pct"/><w:noWrap/></w:tcPr><w:p><w:pPr/></w:p></w:tc><w:tc><w:tcPr><w:tcW w:w="50" w:type="pct"/><w:noWrap/></w:tcPr><w:p><w:pPr/></w:p></w:tc><w:tc><w:tcPr><w:tcW w:w="700" w:type="pct"/><w:noWrap/></w:tcPr><w:p><w:pPr/></w:p></w:tc><w:tc><w:tcPr><w:tcW w:w="50" w:type="pct"/><w:noWrap/></w:tcPr><w:p><w:pPr/></w:p></w:tc><w:tc><w:tcPr><w:tcW w:w="700" w:type="pct"/><w:noWrap/></w:tcPr><w:p><w:pPr/></w:p></w:tc><w:tc><w:tcPr><w:tcW w:w="50" w:type="pct"/><w:noWrap/></w:tcPr><w:p><w:pPr/></w:p></w:tc><w:tc><w:tcPr><w:tcW w:w="700" w:type="pct"/><w:noWrap/></w:tcPr><w:p><w:pPr/></w:p></w:tc><w:tc><w:tcPr><w:tcW w:w="50" w:type="pct"/><w:noWrap/></w:tcPr><w:p><w:pPr/></w:p></w:tc><w:tc><w:tcPr><w:tcW w:w="1600" w:type="pct"/><w:noWrap/></w:tcPr><w:p><w:pPr/></w:p></w:tc><w:tc><w:tcPr><w:tcW w:w="50" w:type="pct"/><w:noWrap/></w:tcPr><w:p><w:pPr/></w:p></w:tc><w:tc><w:tcPr><w:tcW w:w="700" w:type="pct"/><w:noWrap/></w:tcPr><w:p><w:pPr/></w:p></w:tc><w:tc><w:tcPr><w:tcW w:w="50" w:type="pct"/><w:noWrap/></w:tcPr><w:p><w:pPr/></w:p></w:tc><w:tc><w:tcPr><w:tcW w:w="3900" w:type="pct"/><w:noWrap/></w:tcPr><w:p><w:pPr/></w:p></w:tc><w:tc><w:tcPr><w:tcW w:w="50" w:type="pct"/><w:noWrap/></w:tcPr><w:p><w:pP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131,316,396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319,621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40,971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278,663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Exercise of stock options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152,250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1,070,694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March 31, 2024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132,539,340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321,088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43,071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278,030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34,898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2,568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2,568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June 30, 2024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132,574,238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323,602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60,114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263,501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sz w:val="20"/><w:szCs w:val="20"/></w:rPr><w:t xml:space="preserve"> </w:t></w:r></w:p><w:tbl><w:tblGrid><w:gridCol w:w="3600" w:type="dxa"/><w:gridCol w:w="50" w:type="dxa"/><w:gridCol w:w="50" w:type="dxa"/><w:gridCol w:w="2300" w:type="dxa"/><w:gridCol w:w="50" w:type="dxa"/><w:gridCol w:w="700" w:type="dxa"/><w:gridCol w:w="50" w:type="dxa"/><w:gridCol w:w="800" w:type="dxa"/><w:gridCol w:w="50" w:type="dxa"/><w:gridCol w:w="700" w:type="dxa"/><w:gridCol w:w="50" w:type="dxa"/><w:gridCol w:w="800" w:type="dxa"/><w:gridCol w:w="50" w:type="dxa"/><w:gridCol w:w="700" w:type="dxa"/><w:gridCol w:w="50" w:type="dxa"/><w:gridCol w:w="600" w:type="dxa"/><w:gridCol w:w="50" w:type="dxa"/><w:gridCol w:w="700" w:type="dxa"/><w:gridCol w:w="50" w:type="dxa"/><w:gridCol w:w="4100" w:type="dxa"/><w:gridCol w:w="50" w:type="dxa"/></w:tblGrid><w:tblPr><w:tblW w:w="0" w:type="pct"/><w:tblLayout w:type="autofit"/></w:tblPr><w:tr><w:trPr/><w:tc><w:tcPr><w:tcW w:w="3600" w:type="pct"/><w:noWrap/></w:tcPr><w:p><w:pPr/></w:p></w:tc><w:tc><w:tcPr><w:tcW w:w="50" w:type="pct"/><w:noWrap/></w:tcPr><w:p><w:pPr/></w:p></w:tc><w:tc><w:tcPr><w:tcW w:w="50" w:type="pct"/><w:noWrap/></w:tcPr><w:p><w:pPr/></w:p></w:tc><w:tc><w:tcPr><w:tcW w:w="2300" w:type="pct"/><w:noWrap/></w:tcPr><w:p><w:pPr/></w:p></w:tc><w:tc><w:tcPr><w:tcW w:w="50" w:type="pct"/><w:noWrap/></w:tcPr><w:p><w:pPr/></w:p></w:tc><w:tc><w:tcPr><w:tcW w:w="700" w:type="pct"/><w:noWrap/></w:tcPr><w:p><w:pPr/></w:p></w:tc><w:tc><w:tcPr><w:tcW w:w="50" w:type="pct"/><w:noWrap/></w:tcPr><w:p><w:pPr/></w:p></w:tc><w:tc><w:tcPr><w:tcW w:w="800" w:type="pct"/><w:noWrap/></w:tcPr><w:p><w:pPr/></w:p></w:tc><w:tc><w:tcPr><w:tcW w:w="50" w:type="pct"/><w:noWrap/></w:tcPr><w:p><w:pPr/></w:p></w:tc><w:tc><w:tcPr><w:tcW w:w="700" w:type="pct"/><w:noWrap/></w:tcPr><w:p><w:pPr/></w:p></w:tc><w:tc><w:tcPr><w:tcW w:w="50" w:type="pct"/><w:noWrap/></w:tcPr><w:p><w:pPr/></w:p></w:tc><w:tc><w:tcPr><w:tcW w:w="800" w:type="pct"/><w:noWrap/></w:tcPr><w:p><w:pPr/></w:p></w:tc><w:tc><w:tcPr><w:tcW w:w="50" w:type="pct"/><w:noWrap/></w:tcPr><w:p><w:pPr/></w:p></w:tc><w:tc><w:tcPr><w:tcW w:w="700" w:type="pct"/><w:noWrap/></w:tcPr><w:p><w:pPr/></w:p></w:tc><w:tc><w:tcPr><w:tcW w:w="50" w:type="pct"/><w:noWrap/></w:tcPr><w:p><w:pPr/></w:p></w:tc><w:tc><w:tcPr><w:tcW w:w="600" w:type="pct"/><w:noWrap/></w:tcPr><w:p><w:pPr/></w:p></w:tc><w:tc><w:tcPr><w:tcW w:w="50" w:type="pct"/><w:noWrap/></w:tcPr><w:p><w:pPr/></w:p></w:tc><w:tc><w:tcPr><w:tcW w:w="700" w:type="pct"/><w:noWrap/></w:tcPr><w:p><w:pPr/></w:p></w:tc><w:tc><w:tcPr><w:tcW w:w="50" w:type="pct"/><w:noWrap/></w:tcPr><w:p><w:pPr/></w:p></w:tc><w:tc><w:tcPr><w:tcW w:w="410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130,919,129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310,957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45,301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265,669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Cumulative-effect adjustment from adoption of </w:t></w:r><w:r><w:rPr><w:rFonts w:ascii="Times New Roman" w:hAnsi="Times New Roman" w:eastAsia="Times New Roman" w:cs="Times New Roman"/><w:color w:val="000000"/><w:sz w:val="16"/><w:szCs w:val="16"/><w:shd w:val="clear" w:fill="ffffff"/></w:rPr><w:t xml:space="preserve">ASU 2016-13</w:t></w:r><w:r><w:rPr><w:rFonts w:ascii="Times New Roman" w:hAnsi="Times New Roman" w:eastAsia="Times New Roman" w:cs="Times New Roman"/><w:color w:val="000000"/><w:sz w:val="16"/><w:szCs w:val="16"/><w:shd w:val="clear" w:fill="ffffff"/></w:rPr><w:t xml:space="preserve">, net of tax (Note 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615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615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307,258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1,914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1,914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2,969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2,969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March 31, 2023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131,226,387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312,573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48,885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263,701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85,465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2,299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2,299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Net income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5,316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5,316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June 30, 2023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131,311,852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314,838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43,569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271,282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p><w:p><w:pPr><w:jc w:val="center"/><w:spacing w:before="240" w:after="0"/></w:pPr><w:r><w:rPr><w:rFonts w:ascii="Times New Roman" w:hAnsi="Times New Roman" w:eastAsia="Times New Roman" w:cs="Times New Roman"/><w:color w:val="000000"/><w:sz w:val="20"/><w:szCs w:val="20"/></w:rPr><w:t xml:space="preserve">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w:t></w:r><w:r><w:rPr><w:rFonts w:ascii="Times New Roman" w:hAnsi="Times New Roman" w:eastAsia="Times New Roman" w:cs="Times New Roman"/><w:color w:val="000000"/><w:sz w:val="20"/><w:szCs w:val="20"/><w:b w:val="1"/><w:bCs w:val="1"/></w:rPr><w:t xml:space="preserve">ENTS OF CASH FLOWS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 in thousands)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31650" w:type="dxa"/><w:gridCol w:w="250" w:type="dxa"/><w:gridCol w:w="50" w:type="dxa"/><w:gridCol w:w="9150" w:type="dxa"/><w:gridCol w:w="50" w:type="dxa"/><w:gridCol w:w="250" w:type="dxa"/><w:gridCol w:w="50" w:type="dxa"/><w:gridCol w:w="9150" w:type="dxa"/><w:gridCol w:w="50" w:type="dxa"/></w:tblGrid><w:tblPr><w:tblW w:w="0" w:type="pct"/><w:tblLayout w:type="autofit"/></w:tblPr><w:tr><w:trPr/><w:tc><w:tcPr><w:tcW w:w="31650" w:type="pct"/><w:noWrap/></w:tcPr><w:p><w:pPr/></w:p></w:tc><w:tc><w:tcPr><w:tcW w:w="250" w:type="pct"/><w:noWrap/></w:tcPr><w:p><w:pPr/></w:p></w:tc><w:tc><w:tcPr><w:tcW w:w="50" w:type="pct"/><w:noWrap/></w:tcPr><w:p><w:pPr/></w:p></w:tc><w:tc><w:tcPr><w:tcW w:w="9150" w:type="pct"/><w:noWrap/></w:tcPr><w:p><w:pPr/></w:p></w:tc><w:tc><w:tcPr><w:tcW w:w="50" w:type="pct"/><w:noWrap/></w:tcPr><w:p><w:pPr/></w:p></w:tc><w:tc><w:tcPr><w:tcW w:w="250" w:type="pct"/><w:noWrap/></w:tcPr><w:p><w:pPr/></w:p></w:tc><w:tc><w:tcPr><w:tcW w:w="50" w:type="pct"/><w:noWrap/></w:tcPr><w:p><w:pPr/></w:p></w:tc><w:tc><w:tcPr><w:tcW w:w="91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Six Months Ended</w:t></w:r><w:br/><w:r><w:rPr><w:rFonts w:ascii="Times New Roman" w:hAnsi="Times New Roman" w:eastAsia="Times New Roman" w:cs="Times New Roman"/><w:color w:val="000000"/><w:sz w:val="16"/><w:szCs w:val="16"/><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income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19,143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2,347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Adjustments to reconcile net income (loss) to net cash provided by (used in)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Depreciation and amortization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6,438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4,922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Amortization of intangible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1,735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2,459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Reduction in the carrying value of right-of-use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4,364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3,893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Non-cash interest expense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215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Deferred interest expense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Provision recorded for credit losses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2,032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190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Deferred tax benefit</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5,689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Loss on disposal of property and equipment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434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Adjustment for excess and obsolete inventories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4,469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3,464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Stock-based compensation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4,975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4,213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Impairment of property and construction (Note 6)</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18,842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Write down of capitalized internal-use software costs (Note 6)</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3,959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Changes in operating assets and liabilities: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25,978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4,970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2,009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4,045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Prepaid expenses and other current assets and other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436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2,874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Operating leases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5,908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4,178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payable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2,147</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3,535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Accrued expenses and other current liabilities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8,162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1,091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Other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cash provided by (used in) operating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5,424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3,569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investing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Purchases of property and equipment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4,102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15,061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investing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4,102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15,061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Cash flows from financing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Payments of term loan under the 2021 Credit Agreement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2,813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1,875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Payments of withholding taxes in connection with RSUs vesting</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1,174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332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Proceeds from the exercise of stock options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180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Principal repayments of finance lease obligations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528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83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financing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4,335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2,290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Change in cash, cash equivalents and restricted cash</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13,861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13,782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cash equivalents, and restricted cash, beginning of period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104,338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103,290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cash equivalents, and restricted cash, end of period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90,477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89,508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Supplemental disclosure of cash flow information: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paid for interest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2,608</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paid for income taxes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4,796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3,022</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Supplemental disclosure of non-cash investing and financing activities: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Cumulative effect adjustment for adoption of ASU No. 2016-13</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615</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Purchases of property and equipment included in accounts payable and accrued expenses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1,882</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Right-of-use assets obtained through operating lease obligations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817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4,253</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start"/><w:spacing w:before="120" w:after="0"/></w:pPr><w:r><w:rPr><w:rFonts w:ascii="Times New Roman" w:hAnsi="Times New Roman" w:eastAsia="Times New Roman" w:cs="Times New Roman"/><w:color w:val="000000"/><w:sz w:val="20"/><w:szCs w:val="20"/></w:rPr><w:t xml:space="preserve">                             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240" w:after="0"/></w:pPr><w:r><w:rPr><w:rFonts w:ascii="Times New Roman" w:hAnsi="Times New Roman" w:eastAsia="Times New Roman" w:cs="Times New Roman"/><w:color w:val="000000"/><w:sz w:val="20"/><w:szCs w:val="20"/><w:b w:val="1"/><w:bCs w:val="1"/></w:rPr><w:t xml:space="preserve">NOTES TO UNAUDITED CONDENSED CONSOLID</w:t></w:r><w:r><w:rPr><w:rFonts w:ascii="Times New Roman" w:hAnsi="Times New Roman" w:eastAsia="Times New Roman" w:cs="Times New Roman"/><w:color w:val="000000"/><w:sz w:val="20"/><w:szCs w:val="20"/><w:b w:val="1"/><w:bCs w:val="1"/></w:rPr><w:t xml:space="preserve">ATED FINANCIAL STATEMENTS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data)</w:t></w:r></w:p><w:p><w:pPr><w:jc w:val="start"/><w:spacing w:before="240" w:after="0"/></w:pPr><w:r><w:rPr><w:rFonts w:ascii="Times New Roman" w:hAnsi="Times New Roman" w:eastAsia="Times New Roman" w:cs="Times New Roman"/><w:color w:val="000000"/><w:sz w:val="20"/><w:szCs w:val="20"/><w:b w:val="1"/><w:bCs w:val="1"/></w:rPr><w:t xml:space="preserve">1. Nature of Business and Basis of Presentation</w:t></w:r></w:p><w:p><w:pPr><w:jc w:val="start"/><w:ind w:left="0" w:right="0" w:firstLine="0" w:hanging="0"/><w:spacing w:before="120" w:after="0"/></w:pPr><w:r><w:rPr><w:rFonts w:ascii="Times New Roman" w:hAnsi="Times New Roman" w:eastAsia="Times New Roman" w:cs="Times New Roman"/><w:color w:val="000000"/><w:sz w:val="20"/><w:szCs w:val="20"/></w:rPr><w:t xml:space="preserve">Organogenesis Holdings Inc. (“ORGO” or the “Company”) is a leading regenerative medicine company focused on the development, manufacture, and commercialization of solutions for the Advanced Wound Care and Surgical &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surgery centers (“ASCs”) and physician offices. The Company has </w:t></w:r><w:r><w:rPr><w:rFonts w:ascii="Times New Roman" w:hAnsi="Times New Roman" w:eastAsia="Times New Roman" w:cs="Times New Roman"/><w:color w:val="000000"/><w:sz w:val="20"/><w:szCs w:val="20"/></w:rPr><w:t xml:space="preserve">one</w:t></w:r><w:r><w:rPr><w:rFonts w:ascii="Times New Roman" w:hAnsi="Times New Roman" w:eastAsia="Times New Roman" w:cs="Times New Roman"/><w:color w:val="000000"/><w:sz w:val="20"/><w:szCs w:val="20"/></w:rPr><w:t xml:space="preserve"> operating and reportable segment.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Unaudited Interim Financial Information</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accompanying unaudited condensed consolidated financial statements have been prepared by management in accordance with generally accepted accounting principles in the United States (“GAAP”), pursuant to the rules and regulations of the Securities and Exchange Commission (“SEC”) for interim financial statements. Certain information and footnote disclosures normally included in financial statements prepared in accordance with GAAP have been condensed or omitted pursuant to such rules and regulations. However, the Company believes that the disclosures are adequate to make the information presented not misleading. These unaudited condensed consolidated financial statements should be read in conjunction with the audited consolidated financial statements and notes thereto, for the year ended December 31, 2023, included in the Company’s annual report on Form 10-K for the fiscal year ended December 31, 2023, which was filed with the SEC on February 29, 2024 (the “Annual Report”).</w:t></w:r><w:r><w:rPr><w:rFonts w:ascii="Times New Roman" w:hAnsi="Times New Roman" w:eastAsia="Times New Roman" w:cs="Times New Roman"/><w:color w:val="000000"/><w:sz w:val="20"/><w:szCs w:val="20"/><w:b w:val="1"/><w:bCs w:val="1"/><w:i w:val="1"/><w:iCs w:val="1"/></w:rPr><w:t xml:space="preserve"> </w:t></w:r><w:r><w:rPr><w:rFonts w:ascii="Times New Roman" w:hAnsi="Times New Roman" w:eastAsia="Times New Roman" w:cs="Times New Roman"/><w:color w:val="000000"/><w:sz w:val="20"/><w:szCs w:val="20"/></w:rPr><w:t xml:space="preserve">The results for the six months ended June 30, 2024 are not necessarily indicative of the results to be expected for the year ending December 31, 2024</w:t></w:r><w:r><w:rPr><w:rFonts w:ascii="Times New Roman" w:hAnsi="Times New Roman" w:eastAsia="Times New Roman" w:cs="Times New Roman"/><w:color w:val="000000"/><w:sz w:val="20"/><w:szCs w:val="20"/></w:rPr><w:t xml:space="preserve">, any other interim periods, or any future years or periods.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2. Summary of Significant Accounting Policies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significant accounting policies are described in the Company’s audited consolidated financial statements as of and for the year ended December 31, 2023, and the notes thereto, which are included in the Annual Report. There have been no material changes to the significant accounting policies previously disclosed in the Annual Report, with the exception of those detailed below.</w:t></w:r></w:p><w:p><w:pPr><w:jc w:val="start"/><w:ind w:left="0" w:right="0" w:firstLine="0" w:hanging="0"/><w:spacing w:before="120" w:after="0"/></w:pPr><w:r><w:rPr><w:rFonts w:ascii="Times New Roman" w:hAnsi="Times New Roman" w:eastAsia="Times New Roman" w:cs="Times New Roman"/><w:color w:val="000000"/><w:sz w:val="20"/><w:szCs w:val="20"/></w:rPr><w:t xml:space="preserve">These unaudited condensed consolidated financial statements include the accounts and results of operations of Organogenesis Holdings Inc. and its wholly-owned subsidiaries, Organogenesis Inc., Organogenesis GmbH (a Switzerland corporation) and Prime Merger Sub, LLC. All intercompany balances and transactions have been eliminated in consolidation.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From time to time, new accounting pronouncements are issued by the Financial Accounting Standards Board (“FASB”) or other standard setting bodies that the Company adopts as of the specified effective date. Unless otherwise discussed below, the Company does not believe that the adoption of recently issued standards have had or may have a material impact on its condensed consolidated financial statements or disclosures.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Nonrecurring Fair Value Measurements of Nonfinancial Assets</w:t></w:r></w:p><w:p><w:pPr><w:jc w:val="start"/><w:ind w:left="0" w:right="0" w:firstLine="0" w:hanging="0"/><w:spacing w:before="120" w:after="0"/></w:pPr><w:r><w:rPr><w:rFonts w:ascii="Times New Roman" w:hAnsi="Times New Roman" w:eastAsia="Times New Roman" w:cs="Times New Roman"/><w:color w:val="000000"/><w:sz w:val="20"/><w:szCs w:val="20"/></w:rPr><w:t xml:space="preserve">The Company estimates fair value to perform impairment tests on long-lived asset groups when required. The methodologies used to determine fair value in these circumstances are primarily based upon discounted cash flow models and the inputs to such models are classified within Level 3 of the fair value hierarchy. If impaired, these assets or asset groups are measured and recorded at fair value within the accompanying unaudited condensed consolidated financial statements on a nonrecurring basis.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Use of Estimates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preparation of financial statements in conformity with GAAP requires management to make estimates and assumptions that affect the reported amounts of assets and liabilities at the date of the financial statements and the reported results of operations during the reporting periods. In preparing the condensed consolidated financial statements, the estimates and assumptions that management considers to be significant and that present the greatest amount of uncertainty include: revenue recognition; sales returns and credit losses; inventory reserve; recognition and measurement of current and deferred income tax assets and liabilities; the assessment of recoverability of long-lived assets, including impairment and write-downs; and</w:t></w:r><w:r><w:rPr><w:rFonts w:ascii="Times New Roman" w:hAnsi="Times New Roman" w:eastAsia="Times New Roman" w:cs="Times New Roman"/><w:color w:val="000000"/><w:sz w:val="20"/><w:szCs w:val="20"/></w:rPr><w:t xml:space="preserve"> the valuation and recognition of stock-based compensation. Actual results and outcomes may differ significantly from those estimates and assumptions.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Concentration of Credit Risk</w:t></w:r></w:p><w:p><w:pPr><w:jc w:val="start"/><w:ind w:left="0" w:right="0" w:firstLine="0" w:hanging="0"/><w:spacing w:before="120" w:after="0"/></w:pPr><w:r><w:rPr><w:rFonts w:ascii="Times New Roman" w:hAnsi="Times New Roman" w:eastAsia="Times New Roman" w:cs="Times New Roman"/><w:color w:val="000000"/><w:sz w:val="20"/><w:szCs w:val="20"/></w:rPr><w:t xml:space="preserve">Financial instruments that potentially subject the Company to concentration of credit risk consist of cash and cash equivalents. The Company invests its cash equivalents in highly rated money market funds. Deposits may exceed federally insured limits, and the Company is exposed to credit risk on deposits in the event of default by the financial institutions to the extent account balances exceed the amount insured by the Federal Deposit Insurance Corporation (“FDIC”). However, the Company sweeps cash daily overnight and diversifies among financial institutions to reduce such exposure.</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Recently Issued Accounting Pronouncements Not Yet Adopted</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November 2023, the FASB issued ASU 2023-07, </w:t></w:r><w:r><w:rPr><w:rFonts w:ascii="Times New Roman" w:hAnsi="Times New Roman" w:eastAsia="Times New Roman" w:cs="Times New Roman"/><w:color w:val="000000"/><w:sz w:val="20"/><w:szCs w:val="20"/><w:i w:val="1"/><w:iCs w:val="1"/></w:rPr><w:t xml:space="preserve">Segment Reporting (Topic 280): Improvements to Reportable Segment Disclosures</w:t></w:r><w:r><w:rPr><w:rFonts w:ascii="Times New Roman" w:hAnsi="Times New Roman" w:eastAsia="Times New Roman" w:cs="Times New Roman"/><w:color w:val="000000"/><w:sz w:val="20"/><w:szCs w:val="20"/></w:rPr><w:t xml:space="preserve">, which requires public entities to disclose information about their reportable segments’ significant expenses and other segment items on an interim and annual basis. Public entities with a single reportable segment are required to apply the disclosure requirements in ASU 2023-07, as well as all existing segment disclosures and reconciliation requirements in ASC 280. ASU 2023-07 is effective for fiscal years beginning after December 15, 2023, and for interim periods within fiscal years beginning after December 15, 2024, with early adoption permitted. The Company is currently evaluating the impact of adopting ASU 2023-07.</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December 2023, the FASB issued ASU 2023-09, </w:t></w:r><w:r><w:rPr><w:rFonts w:ascii="Times New Roman" w:hAnsi="Times New Roman" w:eastAsia="Times New Roman" w:cs="Times New Roman"/><w:color w:val="000000"/><w:sz w:val="20"/><w:szCs w:val="20"/><w:i w:val="1"/><w:iCs w:val="1"/></w:rPr><w:t xml:space="preserve">Income Taxes (Topic 740): Improvements to Income Tax Disclosures</w:t></w:r><w:r><w:rPr><w:rFonts w:ascii="Times New Roman" w:hAnsi="Times New Roman" w:eastAsia="Times New Roman" w:cs="Times New Roman"/><w:color w:val="000000"/><w:sz w:val="20"/><w:szCs w:val="20"/></w:rPr><w:t xml:space="preserve">, which requires public entities to disclose specific categories in the effective tax rate reconciliation, as well as additional information for reconciling items that exceed a quantitative threshold. ASU 2023-09 also requires all entities to disclose income taxes paid disaggregated by federal, state and foreign taxes, and further disaggregated for specific jurisdictions that exceed 5% of total income taxes paid, among other expanded disclosures. ASU 2023-09 is effective for fiscal years beginning after December 15, 2024, with early adoption permitted. The Company is currently evaluating the impact of adopting ASU 2023-09.</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Correction of Immaterial Classification Error</w:t></w:r></w:p><w:p><w:pPr><w:jc w:val="start"/><w:ind w:left="0" w:right="0" w:firstLine="0" w:hanging="0"/><w:spacing w:before="120" w:after="0"/></w:pPr><w:r><w:rPr><w:rFonts w:ascii="Times New Roman" w:hAnsi="Times New Roman" w:eastAsia="Times New Roman" w:cs="Times New Roman"/><w:color w:val="000000"/><w:sz w:val="20"/><w:szCs w:val="20"/></w:rPr><w:t xml:space="preserve">Subsequent to the issuance of the consolidated financial statements as of and for the year ended December 31, 2023, the Company determined that as of December 31, 2023, it had incorrectly classified $</w:t></w:r><w:r><w:rPr><w:rFonts w:ascii="Times New Roman" w:hAnsi="Times New Roman" w:eastAsia="Times New Roman" w:cs="Times New Roman"/><w:color w:val="000000"/><w:sz w:val="20"/><w:szCs w:val="20"/></w:rPr><w:t xml:space="preserve">5,273</w:t></w:r><w:r><w:rPr><w:rFonts w:ascii="Times New Roman" w:hAnsi="Times New Roman" w:eastAsia="Times New Roman" w:cs="Times New Roman"/><w:color w:val="000000"/><w:sz w:val="20"/><w:szCs w:val="20"/></w:rPr><w:t xml:space="preserve"> of accrued but unpaid lease obligations as current portion of operating lease obligations instead of as current portion of operating lease obligations - related party. As a result, the Company also incorrectly classified $</w:t></w:r><w:r><w:rPr><w:rFonts w:ascii="Times New Roman" w:hAnsi="Times New Roman" w:eastAsia="Times New Roman" w:cs="Times New Roman"/><w:color w:val="000000"/><w:sz w:val="20"/><w:szCs w:val="20"/></w:rPr><w:t xml:space="preserve">5,273</w:t></w:r><w:r><w:rPr><w:rFonts w:ascii="Times New Roman" w:hAnsi="Times New Roman" w:eastAsia="Times New Roman" w:cs="Times New Roman"/><w:color w:val="000000"/><w:sz w:val="20"/><w:szCs w:val="20"/></w:rPr><w:t xml:space="preserve"> of operating lease obligations, net of current portion as operating lease obligations, net of current portion - related party. These misclassifications have been corrected in the accompanying condensed consolidated balance sheets and conform to the current period presentation of operating lease obligations. These reclassifications had no impact on reported results of operations, stockholders’ equity, cash flows, total current liabilities, or total liabilities.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3. Revenue from Contracts with Customers</w:t></w:r></w:p><w:p><w:pPr><w:jc w:val="start"/><w:ind w:left="0" w:right="0" w:firstLine="0" w:hanging="0"/><w:spacing w:before="120" w:after="0"/></w:pPr><w:r><w:rPr><w:rFonts w:ascii="Times New Roman" w:hAnsi="Times New Roman" w:eastAsia="Times New Roman" w:cs="Times New Roman"/><w:color w:val="000000"/><w:sz w:val="20"/><w:szCs w:val="20"/></w:rPr><w:t xml:space="preserve">The Company generates revenue through the sale of Advanced Wound Care and Surgical & Sports Medicine products. There is a single performance obligation in all of the Company’s contracts, which is the Company’s promise to transfer the Company’s products to customers based on specific payment and shipping terms in the arrangement. Product revenue is recognized when a customer obtains control of the Company’s products which occurs at a point in time and may be upon shipment, procedure date, or delivery, based on the terms of the contract. Revenue is recorded net of a reserve for returns, discounts and Group Purchasing Organization (“GPO”) rebates, which represent a direct reduction to the revenue recognized. These reductions are accrued at the time revenue is recognized, based upon historical experience and specific circumstances. For the three and six months ended June 30, 2024 and 2023, the Company recorded GPO fees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1,629</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3,023</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1,466</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2,890</w:t></w:r><w:r><w:rPr><w:rFonts w:ascii="Times New Roman" w:hAnsi="Times New Roman" w:eastAsia="Times New Roman" w:cs="Times New Roman"/><w:color w:val="000000"/><w:sz w:val="20"/><w:szCs w:val="20"/></w:rPr><w:t xml:space="preserve">,respectively, as a direct reduction of revenue.</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rPr><w:t xml:space="preserve">The following tables set forth revenue</w:t></w:r><w:r><w:rPr><w:rFonts w:ascii="Times New Roman" w:hAnsi="Times New Roman" w:eastAsia="Times New Roman" w:cs="Times New Roman"/><w:color w:val="000000"/><w:sz w:val="20"/><w:szCs w:val="20"/></w:rPr><w:t xml:space="preserve"> by product category:</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sz w:val="20"/><w:szCs w:val="20"/></w:rPr><w:t xml:space="preserve"> </w:t></w:r></w:p><w:tbl><w:tblGrid><w:gridCol w:w="46200" w:type="dxa"/><w:gridCol w:w="37150" w:type="dxa"/><w:gridCol w:w="50" w:type="dxa"/><w:gridCol w:w="7200000000000100" w:type="dxa"/><w:gridCol w:w="50" w:type="dxa"/><w:gridCol w:w="30150" w:type="dxa"/><w:gridCol w:w="50" w:type="dxa"/><w:gridCol w:w="29300000000000100" w:type="dxa"/><w:gridCol w:w="50" w:type="dxa"/></w:tblGrid><w:tblPr><w:tblW w:w="0" w:type="pct"/><w:tblLayout w:type="autofit"/></w:tblPr><w:tr><w:trPr/><w:tc><w:tcPr><w:tcW w:w="46200" w:type="pct"/><w:noWrap/></w:tcPr><w:p><w:pPr/></w:p></w:tc><w:tc><w:tcPr><w:tcW w:w="37150" w:type="pct"/><w:noWrap/></w:tcPr><w:p><w:pPr/></w:p></w:tc><w:tc><w:tcPr><w:tcW w:w="50" w:type="pct"/><w:noWrap/></w:tcPr><w:p><w:pPr/></w:p></w:tc><w:tc><w:tcPr><w:tcW w:w="7200000000000100" w:type="pct"/><w:noWrap/></w:tcPr><w:p><w:pPr/></w:p></w:tc><w:tc><w:tcPr><w:tcW w:w="50" w:type="pct"/><w:noWrap/></w:tcPr><w:p><w:pPr/></w:p></w:tc><w:tc><w:tcPr><w:tcW w:w="30150" w:type="pct"/><w:noWrap/></w:tcPr><w:p><w:pPr/></w:p></w:tc><w:tc><w:tcPr><w:tcW w:w="50" w:type="pct"/><w:noWrap/></w:tcPr><w:p><w:pPr/></w:p></w:tc><w:tc><w:tcPr><w:tcW w:w="29300000000000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123,237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110,075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6,997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7,241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130,234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117,316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20850" w:type="dxa"/><w:gridCol w:w="38150" w:type="dxa"/><w:gridCol w:w="50" w:type="dxa"/><w:gridCol w:w="19050" w:type="dxa"/><w:gridCol w:w="50" w:type="dxa"/><w:gridCol w:w="31100" w:type="dxa"/><w:gridCol w:w="50" w:type="dxa"/><w:gridCol w:w="40800" w:type="dxa"/><w:gridCol w:w="50" w:type="dxa"/></w:tblGrid><w:tblPr><w:tblW w:w="0" w:type="pct"/><w:tblLayout w:type="autofit"/></w:tblPr><w:tr><w:trPr/><w:tc><w:tcPr><w:tcW w:w="20850" w:type="pct"/><w:noWrap/></w:tcPr><w:p><w:pPr/></w:p></w:tc><w:tc><w:tcPr><w:tcW w:w="38150" w:type="pct"/><w:noWrap/></w:tcPr><w:p><w:pPr/></w:p></w:tc><w:tc><w:tcPr><w:tcW w:w="50" w:type="pct"/><w:noWrap/></w:tcPr><w:p><w:pPr/></w:p></w:tc><w:tc><w:tcPr><w:tcW w:w="19050" w:type="pct"/><w:noWrap/></w:tcPr><w:p><w:pPr/></w:p></w:tc><w:tc><w:tcPr><w:tcW w:w="50" w:type="pct"/><w:noWrap/></w:tcPr><w:p><w:pPr/></w:p></w:tc><w:tc><w:tcPr><w:tcW w:w="31100" w:type="pct"/><w:noWrap/></w:tcPr><w:p><w:pPr/></w:p></w:tc><w:tc><w:tcPr><w:tcW w:w="50" w:type="pct"/><w:noWrap/></w:tcPr><w:p><w:pPr/></w:p></w:tc><w:tc><w:tcPr><w:tcW w:w="408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227,101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210,992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13,109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13,966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240,210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224,958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For all periods presented, net revenue generated outside the United States represented less than </w:t></w:r><w:r><w:rPr><w:rFonts w:ascii="Times New Roman" w:hAnsi="Times New Roman" w:eastAsia="Times New Roman" w:cs="Times New Roman"/><w:color w:val="000000"/><w:sz w:val="20"/><w:szCs w:val="20"/></w:rPr><w:t xml:space="preserve">1</w:t></w:r><w:r><w:rPr><w:rFonts w:ascii="Times New Roman" w:hAnsi="Times New Roman" w:eastAsia="Times New Roman" w:cs="Times New Roman"/><w:color w:val="000000"/><w:sz w:val="20"/><w:szCs w:val="20"/></w:rPr><w:t xml:space="preserve">% of total net revenue.</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4. Accounts Receivable,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120"/></w:pPr><w:r><w:rPr><w:rFonts w:ascii="Times New Roman" w:hAnsi="Times New Roman" w:eastAsia="Times New Roman" w:cs="Times New Roman"/><w:color w:val="000000"/><w:sz w:val="20"/><w:szCs w:val="20"/></w:rPr><w:t xml:space="preserve">Accounts receiva</w:t></w:r><w:r><w:rPr><w:rFonts w:ascii="Times New Roman" w:hAnsi="Times New Roman" w:eastAsia="Times New Roman" w:cs="Times New Roman"/><w:color w:val="000000"/><w:sz w:val="20"/><w:szCs w:val="20"/></w:rPr><w:t xml:space="preserve">ble consisted of the following:</w:t></w:r><w:r><w:rPr><w:rFonts w:ascii="Times New Roman" w:hAnsi="Times New Roman" w:eastAsia="Times New Roman" w:cs="Times New Roman"/><w:color w:val="000000"/><w:sz w:val="20"/><w:szCs w:val="20"/></w:rPr><w:t xml:space="preserve"> </w:t></w:r></w:p><w:tbl><w:tblGrid><w:gridCol w:w="45900" w:type="dxa"/><w:gridCol w:w="8250" w:type="dxa"/><w:gridCol w:w="50" w:type="dxa"/><w:gridCol w:w="48450" w:type="dxa"/><w:gridCol w:w="50" w:type="dxa"/><w:gridCol w:w="8250" w:type="dxa"/><w:gridCol w:w="50" w:type="dxa"/><w:gridCol w:w="39150" w:type="dxa"/><w:gridCol w:w="50" w:type="dxa"/></w:tblGrid><w:tblPr><w:tblW w:w="0" w:type="pct"/><w:tblLayout w:type="autofit"/></w:tblPr><w:tr><w:trPr/><w:tc><w:tcPr><w:tcW w:w="45900" w:type="pct"/><w:noWrap/></w:tcPr><w:p><w:pPr/></w:p></w:tc><w:tc><w:tcPr><w:tcW w:w="8250" w:type="pct"/><w:noWrap/></w:tcPr><w:p><w:pPr/></w:p></w:tc><w:tc><w:tcPr><w:tcW w:w="50" w:type="pct"/><w:noWrap/></w:tcPr><w:p><w:pPr/></w:p></w:tc><w:tc><w:tcPr><w:tcW w:w="48450" w:type="pct"/><w:noWrap/></w:tcPr><w:p><w:pPr/></w:p></w:tc><w:tc><w:tcPr><w:tcW w:w="50" w:type="pct"/><w:noWrap/></w:tcPr><w:p><w:pPr/></w:p></w:tc><w:tc><w:tcPr><w:tcW w:w="8250" w:type="pct"/><w:noWrap/></w:tcPr><w:p><w:pPr/></w:p></w:tc><w:tc><w:tcPr><w:tcW w:w="50" w:type="pct"/><w:noWrap/></w:tcPr><w:p><w:pPr/></w:p></w:tc><w:tc><w:tcPr><w:tcW w:w="391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Accounts receivable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114,457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88,859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Less — allowance for credit losses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8,512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6,860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105,945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81,999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The Company</w:t></w:r><w:r><w:rPr><w:rFonts w:ascii="Times New Roman" w:hAnsi="Times New Roman" w:eastAsia="Times New Roman" w:cs="Times New Roman"/><w:color w:val="000000"/><w:sz w:val="20"/><w:szCs w:val="20"/></w:rPr><w:t xml:space="preserve">’s allowance for credit losses is comprised of the following:</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9350" w:type="dxa"/><w:gridCol w:w="2200" w:type="dxa"/><w:gridCol w:w="50" w:type="dxa"/><w:gridCol w:w="13100" w:type="dxa"/><w:gridCol w:w="50" w:type="dxa"/><w:gridCol w:w="2200" w:type="dxa"/><w:gridCol w:w="50" w:type="dxa"/><w:gridCol w:w="13100" w:type="dxa"/><w:gridCol w:w="50" w:type="dxa"/><w:gridCol w:w="2200" w:type="dxa"/><w:gridCol w:w="50" w:type="dxa"/><w:gridCol w:w="13100" w:type="dxa"/><w:gridCol w:w="50" w:type="dxa"/><w:gridCol w:w="2200" w:type="dxa"/><w:gridCol w:w="50" w:type="dxa"/><w:gridCol w:w="13100" w:type="dxa"/><w:gridCol w:w="50" w:type="dxa"/></w:tblGrid><w:tblPr><w:tblW w:w="0" w:type="pct"/><w:tblLayout w:type="autofit"/></w:tblPr><w:tr><w:trPr/><w:tc><w:tcPr><w:tcW w:w="93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c><w:tcPr><w:tcW w:w="2200" w:type="pct"/><w:noWrap/></w:tcPr><w:p><w:pPr/></w:p></w:tc><w:tc><w:tcPr><w:tcW w:w="50" w:type="pct"/><w:noWrap/></w:tcPr><w:p><w:pPr/></w:p></w:tc><w:tc><w:tcPr><w:tcW w:w="13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w:t></w:r><w:b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w:t></w:r><w:b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beginning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7,475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6,921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6,860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6,362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Cumulative effect of adopting ASU 2016-13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615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Additions (adjustments)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1,064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53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2,032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190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Write-offs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27</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217</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383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516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Recoveries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Balance at end of period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8,512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6,651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8,512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6,651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5. Inventories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Inventories, net of related reserves for excess and obsolescence, </w:t></w:r><w:r><w:rPr><w:rFonts w:ascii="Times New Roman" w:hAnsi="Times New Roman" w:eastAsia="Times New Roman" w:cs="Times New Roman"/><w:color w:val="000000"/><w:sz w:val="20"/><w:szCs w:val="20"/></w:rPr><w:t xml:space="preserve">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3950" w:type="dxa"/><w:gridCol w:w="10200" w:type="dxa"/><w:gridCol w:w="50" w:type="dxa"/><w:gridCol w:w="48100" w:type="dxa"/><w:gridCol w:w="50" w:type="dxa"/><w:gridCol w:w="10200" w:type="dxa"/><w:gridCol w:w="50" w:type="dxa"/><w:gridCol w:w="42050" w:type="dxa"/><w:gridCol w:w="50" w:type="dxa"/></w:tblGrid><w:tblPr><w:tblW w:w="0" w:type="pct"/><w:tblLayout w:type="autofit"/></w:tblPr><w:tr><w:trPr/><w:tc><w:tcPr><w:tcW w:w="3950" w:type="pct"/><w:noWrap/></w:tcPr><w:p><w:pPr/></w:p></w:tc><w:tc><w:tcPr><w:tcW w:w="10200" w:type="pct"/><w:noWrap/></w:tcPr><w:p><w:pPr/></w:p></w:tc><w:tc><w:tcPr><w:tcW w:w="50" w:type="pct"/><w:noWrap/></w:tcPr><w:p><w:pPr/></w:p></w:tc><w:tc><w:tcPr><w:tcW w:w="48100" w:type="pct"/><w:noWrap/></w:tcPr><w:p><w:pPr/></w:p></w:tc><w:tc><w:tcPr><w:tcW w:w="50" w:type="pct"/><w:noWrap/></w:tcPr><w:p><w:pPr/></w:p></w:tc><w:tc><w:tcPr><w:tcW w:w="10200" w:type="pct"/><w:noWrap/></w:tcPr><w:p><w:pPr/></w:p></w:tc><w:tc><w:tcPr><w:tcW w:w="50" w:type="pct"/><w:noWrap/></w:tcPr><w:p><w:pPr/></w:p></w:tc><w:tc><w:tcPr><w:tcW w:w="42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Raw materials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13,674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12,988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Work in process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847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810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Finished goods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12,362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14,455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26,883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28,253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Raw materials include various components used in the Company’s manufacturing process. The Company’s excess and obsolete inventory review process includes analysis of sales forecasts and historical sales as compared to inventory level, and working with operations to maximize recovery of excess inventory. During the three and six months ended June 30, 2024 and 2023, the Company charged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1,954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4,469</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2,057</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3,464</w:t></w:r><w:r><w:rPr><w:rFonts w:ascii="Times New Roman" w:hAnsi="Times New Roman" w:eastAsia="Times New Roman" w:cs="Times New Roman"/><w:color w:val="000000"/><w:sz w:val="20"/><w:szCs w:val="20"/></w:rPr><w:t xml:space="preserve">, respectively, for inventory excess and obsolescence to cost of goods sold within the condensed consolidated statements of operations and comprehensive income (loss).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6. Property and Equipment,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Property and equipme</w:t></w:r><w:r><w:rPr><w:rFonts w:ascii="Times New Roman" w:hAnsi="Times New Roman" w:eastAsia="Times New Roman" w:cs="Times New Roman"/><w:color w:val="000000"/><w:sz w:val="20"/><w:szCs w:val="20"/></w:rPr><w:t xml:space="preserve">nt 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37650" w:type="dxa"/><w:gridCol w:w="24650" w:type="dxa"/><w:gridCol w:w="50" w:type="dxa"/><w:gridCol w:w="15750" w:type="dxa"/><w:gridCol w:w="50" w:type="dxa"/><w:gridCol w:w="1850" w:type="dxa"/><w:gridCol w:w="50" w:type="dxa"/><w:gridCol w:w="3450" w:type="dxa"/><w:gridCol w:w="50" w:type="dxa"/></w:tblGrid><w:tblPr><w:tblW w:w="0" w:type="pct"/><w:tblLayout w:type="autofit"/></w:tblPr><w:tr><w:trPr/><w:tc><w:tcPr><w:tcW w:w="37650" w:type="pct"/><w:noWrap/></w:tcPr><w:p><w:pPr/></w:p></w:tc><w:tc><w:tcPr><w:tcW w:w="24650" w:type="pct"/><w:noWrap/></w:tcPr><w:p><w:pPr/></w:p></w:tc><w:tc><w:tcPr><w:tcW w:w="50" w:type="pct"/><w:noWrap/></w:tcPr><w:p><w:pPr/></w:p></w:tc><w:tc><w:tcPr><w:tcW w:w="15750" w:type="pct"/><w:noWrap/></w:tcPr><w:p><w:pPr/></w:p></w:tc><w:tc><w:tcPr><w:tcW w:w="50" w:type="pct"/><w:noWrap/></w:tcPr><w:p><w:pPr/></w:p></w:tc><w:tc><w:tcPr><w:tcW w:w="1850" w:type="pct"/><w:noWrap/></w:tcPr><w:p><w:pPr/></w:p></w:tc><w:tc><w:tcPr><w:tcW w:w="50" w:type="pct"/><w:noWrap/></w:tcPr><w:p><w:pPr/></w:p></w:tc><w:tc><w:tcPr><w:tcW w:w="34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Building and leasehold improvements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77,722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65,762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Internal use software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10,965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4,625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Furniture, computers and equipment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57,017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59,960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145,704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130,347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Accumulated depreciation and amortization</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75,230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73,186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Construction in progress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19,473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59,067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89,947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116,228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Depreciation and amortization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3,366</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6,438</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2,228</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4,922</w:t></w:r><w:r><w:rPr><w:rFonts w:ascii="Times New Roman" w:hAnsi="Times New Roman" w:eastAsia="Times New Roman" w:cs="Times New Roman"/><w:color w:val="000000"/><w:sz w:val="20"/><w:szCs w:val="20"/></w:rPr><w:t xml:space="preserve"> for the three and six months ended June 30, 2024 and 2023, respectively.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placed certain modules of its ERP system into service, the costs of which had previously been capitalized as construction in progress and will be expensed over their anticipated useful life, currently estimated to be </w:t></w:r><w:r><w:rPr><w:rFonts w:ascii="Times New Roman" w:hAnsi="Times New Roman" w:eastAsia="Times New Roman" w:cs="Times New Roman"/><w:color w:val="000000"/><w:sz w:val="20"/><w:szCs w:val="20"/></w:rPr><w:t xml:space="preserve">five years</w:t></w:r><w:r><w:rPr><w:rFonts w:ascii="Times New Roman" w:hAnsi="Times New Roman" w:eastAsia="Times New Roman" w:cs="Times New Roman"/><w:color w:val="000000"/><w:sz w:val="20"/><w:szCs w:val="20"/></w:rPr><w:t xml:space="preserve">. At such time, the Company determined that certain other modules within the ERP system and other internal-use software had no future use, and accordingly the Company recorded a write down of $</w:t></w:r><w:r><w:rPr><w:rFonts w:ascii="Times New Roman" w:hAnsi="Times New Roman" w:eastAsia="Times New Roman" w:cs="Times New Roman"/><w:color w:val="000000"/><w:sz w:val="20"/><w:szCs w:val="20"/></w:rPr><w:t xml:space="preserve">3,959</w:t></w:r><w:r><w:rPr><w:rFonts w:ascii="Times New Roman" w:hAnsi="Times New Roman" w:eastAsia="Times New Roman" w:cs="Times New Roman"/><w:color w:val="000000"/><w:sz w:val="20"/><w:szCs w:val="20"/></w:rPr><w:t xml:space="preserve"> of costs related to this internal-use software.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decided to pursue the potential sale of a purchased building, located on the Company’s Canton, Massachusetts campus, on which it had previously paused construction work. The Company identified this change in expectation regarding the use of the building as an impairment indicator. The Company determined the asset group to be comprised of the building and associated construction, and performed the impairment assessment at the asset group level. The Company determined the impairment charge by comparing the fair value of the asset group to its book value, and recorded an impairment charge of $</w:t></w:r><w:r><w:rPr><w:rFonts w:ascii="Times New Roman" w:hAnsi="Times New Roman" w:eastAsia="Times New Roman" w:cs="Times New Roman"/><w:color w:val="000000"/><w:sz w:val="20"/><w:szCs w:val="20"/></w:rPr><w:t xml:space="preserve">18,842</w:t></w:r><w:r><w:rPr><w:rFonts w:ascii="Times New Roman" w:hAnsi="Times New Roman" w:eastAsia="Times New Roman" w:cs="Times New Roman"/><w:color w:val="000000"/><w:sz w:val="20"/><w:szCs w:val="20"/></w:rPr><w:t xml:space="preserve"> related to the building and associated unfinished construction work, allocated to each asset class within the asset group based on its relative carrying value. See Note 14, </w:t></w:r><w:r><w:rPr><w:rFonts w:ascii="Times New Roman" w:hAnsi="Times New Roman" w:eastAsia="Times New Roman" w:cs="Times New Roman"/><w:color w:val="000000"/><w:sz w:val="20"/><w:szCs w:val="20"/><w:i w:val="1"/><w:iCs w:val="1"/></w:rPr><w:t xml:space="preserve">Fair Value Measurements</w:t></w:r><w:r><w:rPr><w:rFonts w:ascii="Times New Roman" w:hAnsi="Times New Roman" w:eastAsia="Times New Roman" w:cs="Times New Roman"/><w:color w:val="000000"/><w:sz w:val="20"/><w:szCs w:val="20"/></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determined that the factors above constituted an impairment trigger relating to its remaining company-wide asset group. The Company performed a recoverability test in accordance with ASC 360, </w:t></w:r><w:r><w:rPr><w:rFonts w:ascii="Times New Roman" w:hAnsi="Times New Roman" w:eastAsia="Times New Roman" w:cs="Times New Roman"/><w:color w:val="000000"/><w:sz w:val="20"/><w:szCs w:val="20"/><w:i w:val="1"/><w:iCs w:val="1"/></w:rPr><w:t xml:space="preserve">Property, Plant and Equipment</w:t></w:r><w:r><w:rPr><w:rFonts w:ascii="Times New Roman" w:hAnsi="Times New Roman" w:eastAsia="Times New Roman" w:cs="Times New Roman"/><w:color w:val="000000"/><w:sz w:val="20"/><w:szCs w:val="20"/></w:rPr><w:t xml:space="preserve">. The estimated undiscounted cash flows directly attributable to the asset group exceeded its carrying value, and accordingly the Company did not record any impairment related to this asset group.</w:t></w:r></w:p><w:p><w:pPr><w:jc w:val="start"/><w:ind w:left="0" w:right="0" w:firstLine="0" w:hanging="0"/><w:spacing w:before="40" w:after="0"/></w:pP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7. Goodwill and Intangible Assets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Goodwill was $</w:t></w:r><w:r><w:rPr><w:rFonts w:ascii="Times New Roman" w:hAnsi="Times New Roman" w:eastAsia="Times New Roman" w:cs="Times New Roman"/><w:color w:val="000000"/><w:sz w:val="20"/><w:szCs w:val="20"/></w:rPr><w:t xml:space="preserve">28,772</w:t></w:r><w:r><w:rPr><w:rFonts w:ascii="Times New Roman" w:hAnsi="Times New Roman" w:eastAsia="Times New Roman" w:cs="Times New Roman"/><w:color w:val="000000"/><w:sz w:val="20"/><w:szCs w:val="20"/></w:rPr><w:t xml:space="preserve"> as of </w:t></w:r><w:r><w:rPr><w:rFonts w:ascii="Times New Roman" w:hAnsi="Times New Roman" w:eastAsia="Times New Roman" w:cs="Times New Roman"/><w:color w:val="000000"/><w:sz w:val="20"/><w:szCs w:val="20"/></w:rPr><w:t xml:space="preserve">June 30, 2024 and December 31, 2023</w:t></w:r><w:r><w:rPr><w:rFonts w:ascii="Times New Roman" w:hAnsi="Times New Roman" w:eastAsia="Times New Roman" w:cs="Times New Roman"/><w:color w:val="000000"/><w:sz w:val="20"/><w:szCs w:val="20"/></w:rPr><w:t xml:space="preserve">. There was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impairment of goodwill recorded during the </w:t></w:r><w:r><w:rPr><w:rFonts w:ascii="Times New Roman" w:hAnsi="Times New Roman" w:eastAsia="Times New Roman" w:cs="Times New Roman"/><w:color w:val="000000"/><w:sz w:val="20"/><w:szCs w:val="20"/></w:rPr><w:t xml:space="preserve">three and six months ended June 30, 2024 and 2023.</w:t></w:r></w:p><w:p><w:pPr><w:jc w:val="start"/><w:ind w:left="0" w:right="0" w:firstLine="0" w:hanging="0"/><w:spacing w:before="120" w:after="0"/></w:pPr><w:r><w:rPr><w:rFonts w:ascii="Times New Roman" w:hAnsi="Times New Roman" w:eastAsia="Times New Roman" w:cs="Times New Roman"/><w:color w:val="000000"/><w:sz w:val="20"/><w:szCs w:val="20"/></w:rPr><w:t xml:space="preserve">Intangible assets consisted</w:t></w:r><w:r><w:rPr><w:rFonts w:ascii="Times New Roman" w:hAnsi="Times New Roman" w:eastAsia="Times New Roman" w:cs="Times New Roman"/><w:color w:val="000000"/><w:sz w:val="20"/><w:szCs w:val="20"/></w:rPr><w:t xml:space="preserve"> of the following as of June 30, 2024:</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33900" w:type="dxa"/><w:gridCol w:w="7450" w:type="dxa"/><w:gridCol w:w="50" w:type="dxa"/><w:gridCol w:w="12050" w:type="dxa"/><w:gridCol w:w="50" w:type="dxa"/><w:gridCol w:w="7450" w:type="dxa"/><w:gridCol w:w="50" w:type="dxa"/><w:gridCol w:w="12050" w:type="dxa"/><w:gridCol w:w="50" w:type="dxa"/><w:gridCol w:w="7450" w:type="dxa"/><w:gridCol w:w="50" w:type="dxa"/><w:gridCol w:w="1950" w:type="dxa"/><w:gridCol w:w="50" w:type="dxa"/></w:tblGrid><w:tblPr><w:tblW w:w="0" w:type="pct"/><w:tblLayout w:type="autofit"/></w:tblPr><w:tr><w:trPr/><w:tc><w:tcPr><w:tcW w:w="33900" w:type="pct"/><w:noWrap/></w:tcPr><w:p><w:pPr/></w:p></w:tc><w:tc><w:tcPr><w:tcW w:w="7450" w:type="pct"/><w:noWrap/></w:tcPr><w:p><w:pPr/></w:p></w:tc><w:tc><w:tcPr><w:tcW w:w="50" w:type="pct"/><w:noWrap/></w:tcPr><w:p><w:pPr/></w:p></w:tc><w:tc><w:tcPr><w:tcW w:w="12050" w:type="pct"/><w:noWrap/></w:tcPr><w:p><w:pPr/></w:p></w:tc><w:tc><w:tcPr><w:tcW w:w="50" w:type="pct"/><w:noWrap/></w:tcPr><w:p><w:pPr/></w:p></w:tc><w:tc><w:tcPr><w:tcW w:w="7450" w:type="pct"/><w:noWrap/></w:tcPr><w:p><w:pPr/></w:p></w:tc><w:tc><w:tcPr><w:tcW w:w="50" w:type="pct"/><w:noWrap/></w:tcPr><w:p><w:pPr/></w:p></w:tc><w:tc><w:tcPr><w:tcW w:w="12050" w:type="pct"/><w:noWrap/></w:tcPr><w:p><w:pPr/></w:p></w:tc><w:tc><w:tcPr><w:tcW w:w="50" w:type="pct"/><w:noWrap/></w:tcPr><w:p><w:pPr/></w:p></w:tc><w:tc><w:tcPr><w:tcW w:w="7450" w:type="pct"/><w:noWrap/></w:tcPr><w:p><w:pPr/></w:p></w:tc><w:tc><w:tcPr><w:tcW w:w="50" w:type="pct"/><w:noWrap/></w:tcPr><w:p><w:pPr/></w:p></w:tc><w:tc><w:tcPr><w:tcW w:w="1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25,720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6,900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4,053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6,637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1,662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418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829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44,387</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14,136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Intangible assets consisted of the following as of December 31, 2023:</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4900" w:type="dxa"/><w:gridCol w:w="6800" w:type="dxa"/><w:gridCol w:w="50" w:type="dxa"/><w:gridCol w:w="1900" w:type="dxa"/><w:gridCol w:w="50" w:type="dxa"/><w:gridCol w:w="6800" w:type="dxa"/><w:gridCol w:w="50" w:type="dxa"/><w:gridCol w:w="42800" w:type="dxa"/><w:gridCol w:w="50" w:type="dxa"/><w:gridCol w:w="6800" w:type="dxa"/><w:gridCol w:w="50" w:type="dxa"/><w:gridCol w:w="20050" w:type="dxa"/><w:gridCol w:w="50" w:type="dxa"/></w:tblGrid><w:tblPr><w:tblW w:w="0" w:type="pct"/><w:tblLayout w:type="autofit"/></w:tblPr><w:tr><w:trPr/><w:tc><w:tcPr><w:tcW w:w="14900" w:type="pct"/><w:noWrap/></w:tcPr><w:p><w:pPr/></w:p></w:tc><w:tc><w:tcPr><w:tcW w:w="6800" w:type="pct"/><w:noWrap/></w:tcPr><w:p><w:pPr/></w:p></w:tc><w:tc><w:tcPr><w:tcW w:w="50" w:type="pct"/><w:noWrap/></w:tcPr><w:p><w:pPr/></w:p></w:tc><w:tc><w:tcPr><w:tcW w:w="1900" w:type="pct"/><w:noWrap/></w:tcPr><w:p><w:pPr/></w:p></w:tc><w:tc><w:tcPr><w:tcW w:w="50" w:type="pct"/><w:noWrap/></w:tcPr><w:p><w:pPr/></w:p></w:tc><w:tc><w:tcPr><w:tcW w:w="6800" w:type="pct"/><w:noWrap/></w:tcPr><w:p><w:pPr/></w:p></w:tc><w:tc><w:tcPr><w:tcW w:w="50" w:type="pct"/><w:noWrap/></w:tcPr><w:p><w:pPr/></w:p></w:tc><w:tc><w:tcPr><w:tcW w:w="42800" w:type="pct"/><w:noWrap/></w:tcPr><w:p><w:pPr/></w:p></w:tc><w:tc><w:tcPr><w:tcW w:w="50" w:type="pct"/><w:noWrap/></w:tcPr><w:p><w:pPr/></w:p></w:tc><w:tc><w:tcPr><w:tcW w:w="6800" w:type="pct"/><w:noWrap/></w:tcPr><w:p><w:pPr/></w:p></w:tc><w:tc><w:tcPr><w:tcW w:w="50" w:type="pct"/><w:noWrap/></w:tcPr><w:p><w:pPr/></w:p></w:tc><w:tc><w:tcPr><w:tcW w:w="2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24,666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7,954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3,519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7,171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1,590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490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754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42,652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15,871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Amortization of intangible assets, calculated on a straight-line basis or using an accelerated method,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834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1,735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1,229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2,459</w:t></w:r><w:r><w:rPr><w:rFonts w:ascii="Times New Roman" w:hAnsi="Times New Roman" w:eastAsia="Times New Roman" w:cs="Times New Roman"/><w:color w:val="000000"/><w:sz w:val="20"/><w:szCs w:val="20"/></w:rPr><w:t xml:space="preserve"> for the three and six months ended June 30, 2024 and 2023, respectively. The weighted average remaining useful lives for developed technology, trade names and trademarks, customer relationship, and non-compete agreements are </w:t></w:r><w:r><w:rPr><w:rFonts w:ascii="Times New Roman" w:hAnsi="Times New Roman" w:eastAsia="Times New Roman" w:cs="Times New Roman"/><w:color w:val="000000"/><w:sz w:val="20"/><w:szCs w:val="20"/></w:rPr><w:t xml:space="preserve">4.0</w:t></w:r><w:r><w:rPr><w:rFonts w:ascii="Times New Roman" w:hAnsi="Times New Roman" w:eastAsia="Times New Roman" w:cs="Times New Roman"/><w:color w:val="000000"/><w:sz w:val="20"/><w:szCs w:val="20"/></w:rPr><w:t xml:space="preserve"> years, </w:t></w:r><w:r><w:rPr><w:rFonts w:ascii="Times New Roman" w:hAnsi="Times New Roman" w:eastAsia="Times New Roman" w:cs="Times New Roman"/><w:color w:val="000000"/><w:sz w:val="20"/><w:szCs w:val="20"/></w:rPr><w:t xml:space="preserve">4.0</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years, </w:t></w:r><w:r><w:rPr><w:rFonts w:ascii="Times New Roman" w:hAnsi="Times New Roman" w:eastAsia="Times New Roman" w:cs="Times New Roman"/><w:color w:val="000000"/><w:sz w:val="20"/><w:szCs w:val="20"/></w:rPr><w:t xml:space="preserve">6.3</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years, and </w:t></w:r><w:r><w:rPr><w:rFonts w:ascii="Times New Roman" w:hAnsi="Times New Roman" w:eastAsia="Times New Roman" w:cs="Times New Roman"/><w:color w:val="000000"/><w:sz w:val="20"/><w:szCs w:val="20"/></w:rPr><w:t xml:space="preserve">1.3</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years, respectively, as of </w:t></w:r><w:r><w:rPr><w:rFonts w:ascii="Times New Roman" w:hAnsi="Times New Roman" w:eastAsia="Times New Roman" w:cs="Times New Roman"/><w:color w:val="000000"/><w:sz w:val="20"/><w:szCs w:val="20"/></w:rPr><w:t xml:space="preserve">June 30, 2024</w:t></w:r><w:r><w:rPr><w:rFonts w:ascii="Times New Roman" w:hAnsi="Times New Roman" w:eastAsia="Times New Roman" w:cs="Times New Roman"/><w:color w:val="000000"/><w:sz w:val="20"/><w:szCs w:val="20"/></w:rPr><w:t xml:space="preserve">.</w:t></w:r></w:p><w:p><w:pPr><w:jc w:val="start"/><w:spacing w:before="360" w:after="0"/></w:pPr><w:r><w:rPr><w:rFonts w:ascii="Times New Roman" w:hAnsi="Times New Roman" w:eastAsia="Times New Roman" w:cs="Times New Roman"/><w:color w:val="000000"/><w:sz w:val="20"/><w:szCs w:val="20"/><w:b w:val="1"/><w:bCs w:val="1"/></w:rPr><w:t xml:space="preserve">8. Accrued Expenses and Other Current Liabilities</w:t></w:r></w:p><w:p><w:pPr><w:jc w:val="center"/><w:spacing w:before="240" w:after="0"/></w:pPr><w:r><w:rPr><w:rFonts w:ascii="Times New Roman" w:hAnsi="Times New Roman" w:eastAsia="Times New Roman" w:cs="Times New Roman"/><w:color w:val="000000"/><w:sz w:val="20"/><w:szCs w:val="20"/></w:rPr><w:t xml:space="preserve">11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Accrued expenses and other current liabilities consisted</w:t></w:r><w:r><w:rPr><w:rFonts w:ascii="Times New Roman" w:hAnsi="Times New Roman" w:eastAsia="Times New Roman" w:cs="Times New Roman"/><w:color w:val="000000"/><w:sz w:val="20"/><w:szCs w:val="20"/></w:rPr><w:t xml:space="preserve">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0650" w:type="dxa"/><w:gridCol w:w="250" w:type="dxa"/><w:gridCol w:w="50" w:type="dxa"/><w:gridCol w:w="43150000000000050" w:type="dxa"/><w:gridCol w:w="50" w:type="dxa"/><w:gridCol w:w="1800" w:type="dxa"/><w:gridCol w:w="50" w:type="dxa"/><w:gridCol w:w="43150000000000050" w:type="dxa"/><w:gridCol w:w="50" w:type="dxa"/></w:tblGrid><w:tblPr><w:tblW w:w="0" w:type="pct"/><w:tblLayout w:type="autofit"/></w:tblPr><w:tr><w:trPr/><w:tc><w:tcPr><w:tcW w:w="20650" w:type="pct"/><w:noWrap/></w:tcPr><w:p><w:pPr/></w:p></w:tc><w:tc><w:tcPr><w:tcW w:w="250" w:type="pct"/><w:noWrap/></w:tcPr><w:p><w:pPr/></w:p></w:tc><w:tc><w:tcPr><w:tcW w:w="50" w:type="pct"/><w:noWrap/></w:tcPr><w:p><w:pPr/></w:p></w:tc><w:tc><w:tcPr><w:tcW w:w="43150000000000050" w:type="pct"/><w:noWrap/></w:tcPr><w:p><w:pPr/></w:p></w:tc><w:tc><w:tcPr><w:tcW w:w="50" w:type="pct"/><w:noWrap/></w:tcPr><w:p><w:pPr/></w:p></w:tc><w:tc><w:tcPr><w:tcW w:w="1800" w:type="pct"/><w:noWrap/></w:tcPr><w:p><w:pPr/></w:p></w:tc><w:tc><w:tcPr><w:tcW w:w="50" w:type="pct"/><w:noWrap/></w:tcPr><w:p><w:pPr/></w:p></w:tc><w:tc><w:tcPr><w:tcW w:w="43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Personnel costs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19,345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18,287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Royalties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8,916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3,075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Interest on accrued but unpaid lease obligations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2,326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Accrued milestone payment (Note 15)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Accrued taxes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3,885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2,799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Other</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1,489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1,087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38,016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30,074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360" w:after="0"/></w:pPr><w:r><w:rPr><w:rFonts w:ascii="Times New Roman" w:hAnsi="Times New Roman" w:eastAsia="Times New Roman" w:cs="Times New Roman"/><w:color w:val="000000"/><w:sz w:val="20"/><w:szCs w:val="20"/></w:rPr><w:t xml:space="preserve">The interest on accrued but unpaid lease obligations is related to the buildings in Canton, Massachusetts. See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b w:val="1"/><w:bCs w:val="1"/></w:rPr><w:t xml:space="preserve"> </w:t></w:r></w:p><w:p><w:pPr><w:jc w:val="start"/><w:spacing w:before="360" w:after="0"/></w:pPr><w:r><w:rPr><w:rFonts w:ascii="Times New Roman" w:hAnsi="Times New Roman" w:eastAsia="Times New Roman" w:cs="Times New Roman"/><w:color w:val="000000"/><w:sz w:val="20"/><w:szCs w:val="20"/><w:b w:val="1"/><w:bCs w:val="1"/></w:rPr><w:t xml:space="preserve">9. Restructuring</w:t></w:r></w:p><w:p><w:pPr><w:jc w:val="start"/><w:ind w:left="0" w:right="0" w:firstLine="0" w:hanging="0"/><w:spacing w:before="120" w:after="0"/></w:pPr><w:r><w:rPr><w:rFonts w:ascii="Times New Roman" w:hAnsi="Times New Roman" w:eastAsia="Times New Roman" w:cs="Times New Roman"/><w:color w:val="000000"/><w:sz w:val="20"/><w:szCs w:val="20"/></w:rPr><w:t xml:space="preserve">In order to reduce the Company’s cost structure and improve operating efficiency, the Company has consolidated its manufacturing operations in various locations into Massachusetts facilities.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February 3, 2023, the Company committed to a plan to restructure its workforce to increase productivity and enhance profitability. The reduction in force reduced the Company’s headcount by </w:t></w:r><w:r><w:rPr><w:rFonts w:ascii="Times New Roman" w:hAnsi="Times New Roman" w:eastAsia="Times New Roman" w:cs="Times New Roman"/><w:color w:val="000000"/><w:sz w:val="20"/><w:szCs w:val="20"/></w:rPr><w:t xml:space="preserve">71</w:t></w:r><w:r><w:rPr><w:rFonts w:ascii="Times New Roman" w:hAnsi="Times New Roman" w:eastAsia="Times New Roman" w:cs="Times New Roman"/><w:color w:val="000000"/><w:sz w:val="20"/><w:szCs w:val="20"/></w:rPr><w:t xml:space="preserve"> employees, or approximately </w:t></w:r><w:r><w:rPr><w:rFonts w:ascii="Times New Roman" w:hAnsi="Times New Roman" w:eastAsia="Times New Roman" w:cs="Times New Roman"/><w:color w:val="000000"/><w:sz w:val="20"/><w:szCs w:val="20"/></w:rPr><w:t xml:space="preserve">7</w:t></w:r><w:r><w:rPr><w:rFonts w:ascii="Times New Roman" w:hAnsi="Times New Roman" w:eastAsia="Times New Roman" w:cs="Times New Roman"/><w:color w:val="000000"/><w:sz w:val="20"/><w:szCs w:val="20"/></w:rPr><w:t xml:space="preserve">% of all employees. The Company incurred a t</w:t></w:r><w:r><w:rPr><w:rFonts w:ascii="Times New Roman" w:hAnsi="Times New Roman" w:eastAsia="Times New Roman" w:cs="Times New Roman"/><w:color w:val="000000"/><w:sz w:val="20"/><w:szCs w:val="20"/></w:rPr><w:t xml:space="preserve">otal charge of $</w:t></w:r><w:r><w:rPr><w:rFonts w:ascii="Times New Roman" w:hAnsi="Times New Roman" w:eastAsia="Times New Roman" w:cs="Times New Roman"/><w:color w:val="000000"/><w:sz w:val="20"/><w:szCs w:val="20"/></w:rPr><w:t xml:space="preserve">1,609</w:t></w:r><w:r><w:rPr><w:rFonts w:ascii="Times New Roman" w:hAnsi="Times New Roman" w:eastAsia="Times New Roman" w:cs="Times New Roman"/><w:color w:val="000000"/><w:sz w:val="20"/><w:szCs w:val="20"/></w:rPr><w:t xml:space="preserve"> in the </w:t></w:r><w:r><w:rPr><w:rFonts w:ascii="Times New Roman" w:hAnsi="Times New Roman" w:eastAsia="Times New Roman" w:cs="Times New Roman"/><w:color w:val="000000"/><w:sz w:val="20"/><w:szCs w:val="20"/></w:rPr><w:t xml:space="preserve">six months ended June 30, 2023 in connection with the restructuring, primarily consisting of severance payments. It was substantially completed as of March 31, 2023.</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a result of the restructuring activiti</w:t></w:r><w:r><w:rPr><w:rFonts w:ascii="Times New Roman" w:hAnsi="Times New Roman" w:eastAsia="Times New Roman" w:cs="Times New Roman"/><w:color w:val="000000"/><w:sz w:val="20"/><w:szCs w:val="20"/></w:rPr><w:t xml:space="preserve">es, the Company recorded a pre-tax adjustment of ($</w:t></w:r><w:r><w:rPr><w:rFonts w:ascii="Times New Roman" w:hAnsi="Times New Roman" w:eastAsia="Times New Roman" w:cs="Times New Roman"/><w:color w:val="000000"/><w:sz w:val="20"/><w:szCs w:val="20"/></w:rPr><w:t xml:space="preserve">126</w:t></w:r><w:r><w:rPr><w:rFonts w:ascii="Times New Roman" w:hAnsi="Times New Roman" w:eastAsia="Times New Roman" w:cs="Times New Roman"/><w:color w:val="000000"/><w:sz w:val="20"/><w:szCs w:val="20"/></w:rPr><w:t xml:space="preserve">) and a pre-tax charge of $</w:t></w:r><w:r><w:rPr><w:rFonts w:ascii="Times New Roman" w:hAnsi="Times New Roman" w:eastAsia="Times New Roman" w:cs="Times New Roman"/><w:color w:val="000000"/><w:sz w:val="20"/><w:szCs w:val="20"/></w:rPr><w:t xml:space="preserve">1,782</w:t></w:r><w:r><w:rPr><w:rFonts w:ascii="Times New Roman" w:hAnsi="Times New Roman" w:eastAsia="Times New Roman" w:cs="Times New Roman"/><w:color w:val="000000"/><w:sz w:val="20"/><w:szCs w:val="20"/></w:rPr><w:t xml:space="preserve"> during the three and six months ended June 30, 2023, respectively. These charges are included in selling, general and administrative e</w:t></w:r><w:r><w:rPr><w:rFonts w:ascii="Times New Roman" w:hAnsi="Times New Roman" w:eastAsia="Times New Roman" w:cs="Times New Roman"/><w:color w:val="000000"/><w:sz w:val="20"/><w:szCs w:val="20"/></w:rPr><w:t xml:space="preserve">xpenses in the condensed consolidated statements of operations and comprehensive loss. The liability related to the restructuring activities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298</w:t></w:r><w:r><w:rPr><w:rFonts w:ascii="Times New Roman" w:hAnsi="Times New Roman" w:eastAsia="Times New Roman" w:cs="Times New Roman"/><w:color w:val="000000"/><w:sz w:val="20"/><w:szCs w:val="20"/></w:rPr><w:t xml:space="preserve"> a</w:t></w:r><w:r><w:rPr><w:rFonts w:ascii="Times New Roman" w:hAnsi="Times New Roman" w:eastAsia="Times New Roman" w:cs="Times New Roman"/><w:color w:val="000000"/><w:sz w:val="20"/><w:szCs w:val="20"/></w:rPr><w:t xml:space="preserve">s of June 30, 2024 and December 31, 2023, respectively, and w</w:t></w:r><w:r><w:rPr><w:rFonts w:ascii="Times New Roman" w:hAnsi="Times New Roman" w:eastAsia="Times New Roman" w:cs="Times New Roman"/><w:color w:val="000000"/><w:sz w:val="20"/><w:szCs w:val="20"/></w:rPr><w:t xml:space="preserve">as included in accrued expenses and other current liabilities in the condensed consolidated balance sheets. </w:t></w:r><w:r><w:rPr><w:rFonts w:ascii="Times New Roman" w:hAnsi="Times New Roman" w:eastAsia="Times New Roman" w:cs="Times New Roman"/><w:color w:val="000000"/><w:sz w:val="20"/><w:szCs w:val="20"/></w:rPr><w:t xml:space="preserve">The following tables provide a roll-forward of the restructuring liabilities.</w:t></w:r></w:p><w:p><w:pPr><w:jc w:val="start"/><w:ind w:left="0" w:right="0" w:firstLine="0" w:hanging="0"/><w:spacing w:before="0" w:after="0"/></w:pPr><w:r><w:rPr><w:rFonts w:ascii="Times New Roman" w:hAnsi="Times New Roman" w:eastAsia="Times New Roman" w:cs="Times New Roman"/><w:sz w:val="24"/><w:szCs w:val="24"/></w:rPr><w:t xml:space="preserve"> </w:t></w:r></w:p><w:tbl><w:tblGrid><w:gridCol w:w="4900" w:type="dxa"/><w:gridCol w:w="4600" w:type="dxa"/><w:gridCol w:w="50" w:type="dxa"/><w:gridCol w:w="4999999999999900" w:type="dxa"/><w:gridCol w:w="50" w:type="dxa"/></w:tblGrid><w:tblPr><w:tblW w:w="0" w:type="pct"/><w:tblLayout w:type="autofit"/></w:tblPr><w:tr><w:trPr/><w:tc><w:tcPr><w:tcW w:w="4900" w:type="pct"/><w:noWrap/></w:tcPr><w:p><w:pPr/></w:p></w:tc><w:tc><w:tcPr><w:tcW w:w="4600" w:type="pct"/><w:noWrap/></w:tcPr><w:p><w:pPr/></w:p></w:tc><w:tc><w:tcPr><w:tcW w:w="50" w:type="pct"/><w:noWrap/></w:tcPr><w:p><w:pPr/></w:p></w:tc><w:tc><w:tcPr><w:tcW w:w="4999999999999900" w:type="pct"/><w:noWrap/></w:tcPr><w:p><w:pPr/></w:p></w:tc><w:tc><w:tcPr><w:tcW w:w="50" w:type="pct"/><w:noWrap/></w:tcPr><w:p><w:pPr/></w:p></w:tc></w:tr><w:tr><w:trPr><w:trHeight w:val="200" w:hRule="exact"/></w:trPr><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December 31, 2023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904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Cash disbursements and other adjustments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904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June 30,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tbl><w:tblGrid><w:gridCol w:w="13550" w:type="dxa"/><w:gridCol w:w="1700" w:type="dxa"/><w:gridCol w:w="50" w:type="dxa"/><w:gridCol w:w="43100" w:type="dxa"/><w:gridCol w:w="50" w:type="dxa"/><w:gridCol w:w="2300" w:type="dxa"/><w:gridCol w:w="50" w:type="dxa"/><w:gridCol w:w="43100" w:type="dxa"/><w:gridCol w:w="50" w:type="dxa"/><w:gridCol w:w="1700" w:type="dxa"/><w:gridCol w:w="50" w:type="dxa"/><w:gridCol w:w="43100" w:type="dxa"/><w:gridCol w:w="50" w:type="dxa"/></w:tblGrid><w:tblPr><w:tblW w:w="0" w:type="pct"/><w:tblLayout w:type="autofit"/></w:tblPr><w:tr><w:trPr/><w:tc><w:tcPr><w:tcW w:w="13550" w:type="pct"/><w:noWrap/></w:tcPr><w:p><w:pPr/></w:p></w:tc><w:tc><w:tcPr><w:tcW w:w="1700" w:type="pct"/><w:noWrap/></w:tcPr><w:p><w:pPr/></w:p></w:tc><w:tc><w:tcPr><w:tcW w:w="50" w:type="pct"/><w:noWrap/></w:tcPr><w:p><w:pPr/></w:p></w:tc><w:tc><w:tcPr><w:tcW w:w="43100" w:type="pct"/><w:noWrap/></w:tcPr><w:p><w:pPr/></w:p></w:tc><w:tc><w:tcPr><w:tcW w:w="50" w:type="pct"/><w:noWrap/></w:tcPr><w:p><w:pPr/></w:p></w:tc><w:tc><w:tcPr><w:tcW w:w="2300" w:type="pct"/><w:noWrap/></w:tcPr><w:p><w:pPr/></w:p></w:tc><w:tc><w:tcPr><w:tcW w:w="50" w:type="pct"/><w:noWrap/></w:tcPr><w:p><w:pPr/></w:p></w:tc><w:tc><w:tcPr><w:tcW w:w="43100" w:type="pct"/><w:noWrap/></w:tcPr><w:p><w:pPr/></w:p></w:tc><w:tc><w:tcPr><w:tcW w:w="50" w:type="pct"/><w:noWrap/></w:tcPr><w:p><w:pPr/></w:p></w:tc><w:tc><w:tcPr><w:tcW w:w="1700" w:type="pct"/><w:noWrap/></w:tcPr><w:p><w:pPr/></w:p></w:tc><w:tc><w:tcPr><w:tcW w:w="50" w:type="pct"/><w:noWrap/></w:tcPr><w:p><w:pPr/></w:p></w:tc><w:tc><w:tcPr><w:tcW w:w="4310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Employee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Arial" w:hAnsi="Arial" w:eastAsia="Arial" w:cs="Arial"/><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Other</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December 31, 2022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1,010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Arial" w:hAnsi="Arial" w:eastAsia="Arial" w:cs="Arial"/><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1,192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Expenses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1,609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Arial" w:hAnsi="Arial" w:eastAsia="Arial" w:cs="Arial"/><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173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1,782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Cash disbursements and other adjustments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2,321</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Arial" w:hAnsi="Arial" w:eastAsia="Arial" w:cs="Arial"/><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355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2,676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Liability balance as of June 30, 2023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298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Arial" w:hAnsi="Arial" w:eastAsia="Arial" w:cs="Arial"/><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298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10. Debt Obligations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Debt obligations consisted of</w:t></w:r><w:r><w:rPr><w:rFonts w:ascii="Times New Roman" w:hAnsi="Times New Roman" w:eastAsia="Times New Roman" w:cs="Times New Roman"/><w:color w:val="000000"/><w:sz w:val="20"/><w:szCs w:val="20"/></w:rPr><w:t xml:space="preserve">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0650" w:type="dxa"/><w:gridCol w:w="250" w:type="dxa"/><w:gridCol w:w="50" w:type="dxa"/><w:gridCol w:w="43150000000000050" w:type="dxa"/><w:gridCol w:w="50" w:type="dxa"/><w:gridCol w:w="1800" w:type="dxa"/><w:gridCol w:w="50" w:type="dxa"/><w:gridCol w:w="43150000000000050" w:type="dxa"/><w:gridCol w:w="50" w:type="dxa"/></w:tblGrid><w:tblPr><w:tblW w:w="0" w:type="pct"/><w:tblLayout w:type="autofit"/></w:tblPr><w:tr><w:trPr/><w:tc><w:tcPr><w:tcW w:w="20650" w:type="pct"/><w:noWrap/></w:tcPr><w:p><w:pPr/></w:p></w:tc><w:tc><w:tcPr><w:tcW w:w="250" w:type="pct"/><w:noWrap/></w:tcPr><w:p><w:pPr/></w:p></w:tc><w:tc><w:tcPr><w:tcW w:w="50" w:type="pct"/><w:noWrap/></w:tcPr><w:p><w:pPr/></w:p></w:tc><w:tc><w:tcPr><w:tcW w:w="43150000000000050" w:type="pct"/><w:noWrap/></w:tcPr><w:p><w:pPr/></w:p></w:tc><w:tc><w:tcPr><w:tcW w:w="50" w:type="pct"/><w:noWrap/></w:tcPr><w:p><w:pPr/></w:p></w:tc><w:tc><w:tcPr><w:tcW w:w="1800" w:type="pct"/><w:noWrap/></w:tcPr><w:p><w:pPr/></w:p></w:tc><w:tc><w:tcPr><w:tcW w:w="50" w:type="pct"/><w:noWrap/></w:tcPr><w:p><w:pPr/></w:p></w:tc><w:tc><w:tcPr><w:tcW w:w="43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Revolving Facility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Term loan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63,750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66,563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Less debt discount and debt issuance cost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261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332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Term loan, net of debt discount and debt issuance cost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63,489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66,231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2021 Credit Agreement</w:t></w:r></w:p><w:p><w:pPr><w:jc w:val="start"/><w:ind w:left="0" w:right="0" w:firstLine="0" w:hanging="0"/><w:spacing w:before="120" w:after="0"/></w:pPr><w:r><w:rPr><w:rFonts w:ascii="Times New Roman" w:hAnsi="Times New Roman" w:eastAsia="Times New Roman" w:cs="Times New Roman"/><w:color w:val="000000"/><w:sz w:val="20"/><w:szCs w:val="20"/></w:rPr><w:t xml:space="preserve">In August 2021, the Company, as borrower, its subsidiaries, as guarantors, and Silicon Valley Bank (</w:t></w:r><w:r><w:rPr><w:rFonts w:ascii="Times New Roman" w:hAnsi="Times New Roman" w:eastAsia="Times New Roman" w:cs="Times New Roman"/><w:color w:val="000000"/><w:sz w:val="20"/><w:szCs w:val="20"/></w:rPr><w:t xml:space="preserve">“SVB”), and the several other lenders thereto (collectively, the “Lenders”) entered into a credit agreement, as amended (the “2021 Credit Agreement”), providing for a term loan facility not to exceed $</w:t></w:r><w:r><w:rPr><w:rFonts w:ascii="Times New Roman" w:hAnsi="Times New Roman" w:eastAsia="Times New Roman" w:cs="Times New Roman"/><w:color w:val="000000"/><w:sz w:val="20"/><w:szCs w:val="20"/></w:rPr><w:t xml:space="preserve">75,000</w:t></w:r><w:r><w:rPr><w:rFonts w:ascii="Times New Roman" w:hAnsi="Times New Roman" w:eastAsia="Times New Roman" w:cs="Times New Roman"/><w:color w:val="000000"/><w:sz w:val="20"/><w:szCs w:val="20"/></w:rPr><w:t xml:space="preserve"> (the “Term Loan Facility”) and a revolving credit facility not to exceed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(the “Revolving Facility” and, together with the Term Loan Facility, the “Facilities”). The Company’s obligations to the Lenders are secured by substantially all of the Company’s assets, including intellectual property. Capitalized terms used herein and not otherwise defined are defined as set forth in the 2021 Credit Agreement.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Advances made under the 2021 Credit Agreement may be either SOFR Loans or ABR Loans, at the Company’s option. </w:t></w:r><w:r><w:rPr><w:rFonts w:ascii="Times New Roman" w:hAnsi="Times New Roman" w:eastAsia="Times New Roman" w:cs="Times New Roman"/><w:color w:val="000000"/><w:sz w:val="20"/><w:szCs w:val="20"/></w:rPr><w:t xml:space="preserve">For SOFR Loans, the interest rate is a per annum interest rate equal to the Adjusted Term SOFR plus an Applicable Margin between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3.25</w:t></w:r><w:r><w:rPr><w:rFonts w:ascii="Times New Roman" w:hAnsi="Times New Roman" w:eastAsia="Times New Roman" w:cs="Times New Roman"/><w:color w:val="000000"/><w:sz w:val="20"/><w:szCs w:val="20"/></w:rPr><w:t xml:space="preserve">% based on the Total Net Leverage Ratio. For ABR Loans, the interest rate is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w:t></w:r><w:r><w:rPr><w:rFonts w:ascii="Times New Roman" w:hAnsi="Times New Roman" w:eastAsia="Times New Roman" w:cs="Times New Roman"/><w:color w:val="000000"/><w:sz w:val="20"/><w:szCs w:val="20"/></w:rPr><w:t xml:space="preserve">1.00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2.25</w:t></w:r><w:r><w:rPr><w:rFonts w:ascii="Times New Roman" w:hAnsi="Times New Roman" w:eastAsia="Times New Roman" w:cs="Times New Roman"/><w:color w:val="000000"/><w:sz w:val="20"/><w:szCs w:val="20"/></w:rPr><w:t xml:space="preserve">% based on the Total Net Leverage Ratio. On </w:t></w:r><w:r><w:rPr><w:rFonts w:ascii="Times New Roman" w:hAnsi="Times New Roman" w:eastAsia="Times New Roman" w:cs="Times New Roman"/><w:color w:val="000000"/><w:sz w:val="20"/><w:szCs w:val="20"/></w:rPr><w:t xml:space="preserve">June 30, 2024</w:t></w:r><w:r><w:rPr><w:rFonts w:ascii="Times New Roman" w:hAnsi="Times New Roman" w:eastAsia="Times New Roman" w:cs="Times New Roman"/><w:color w:val="000000"/><w:sz w:val="20"/><w:szCs w:val="20"/></w:rPr><w:t xml:space="preserve">, the applicable interest rate for outstanding borrowings is </w:t></w:r><w:r><w:rPr><w:rFonts w:ascii="Times New Roman" w:hAnsi="Times New Roman" w:eastAsia="Times New Roman" w:cs="Times New Roman"/><w:color w:val="000000"/><w:sz w:val="20"/><w:szCs w:val="20"/></w:rPr><w:t xml:space="preserve">7.64</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The 2021 Credit Agreement requires the Company to make consecutive quarterly installment payments equal to the following: (a) from September 30, 2021 through and including June 30, 2022, $</w:t></w:r><w:r><w:rPr><w:rFonts w:ascii="Times New Roman" w:hAnsi="Times New Roman" w:eastAsia="Times New Roman" w:cs="Times New Roman"/><w:color w:val="000000"/><w:sz w:val="20"/><w:szCs w:val="20"/></w:rPr><w:t xml:space="preserve">469</w:t></w:r><w:r><w:rPr><w:rFonts w:ascii="Times New Roman" w:hAnsi="Times New Roman" w:eastAsia="Times New Roman" w:cs="Times New Roman"/><w:color w:val="000000"/><w:sz w:val="20"/><w:szCs w:val="20"/></w:rPr><w:t xml:space="preserve">; (b) from September 30, 2022 through and including June 30, 2023, $</w:t></w:r><w:r><w:rPr><w:rFonts w:ascii="Times New Roman" w:hAnsi="Times New Roman" w:eastAsia="Times New Roman" w:cs="Times New Roman"/><w:color w:val="000000"/><w:sz w:val="20"/><w:szCs w:val="20"/></w:rPr><w:t xml:space="preserve">938</w:t></w:r><w:r><w:rPr><w:rFonts w:ascii="Times New Roman" w:hAnsi="Times New Roman" w:eastAsia="Times New Roman" w:cs="Times New Roman"/><w:color w:val="000000"/><w:sz w:val="20"/><w:szCs w:val="20"/></w:rPr><w:t xml:space="preserve">; (c) from September 30, 2023 through and including June 30, 2025, $</w:t></w:r><w:r><w:rPr><w:rFonts w:ascii="Times New Roman" w:hAnsi="Times New Roman" w:eastAsia="Times New Roman" w:cs="Times New Roman"/><w:color w:val="000000"/><w:sz w:val="20"/><w:szCs w:val="20"/></w:rPr><w:t xml:space="preserve">1,406</w:t></w:r><w:r><w:rPr><w:rFonts w:ascii="Times New Roman" w:hAnsi="Times New Roman" w:eastAsia="Times New Roman" w:cs="Times New Roman"/><w:color w:val="000000"/><w:sz w:val="20"/><w:szCs w:val="20"/></w:rPr><w:t xml:space="preserve"> and (d) from September 30, 2025 and the last day of each quarter thereafter until August 6, 2026 (the “Term Loan Maturity Date”), $</w:t></w:r><w:r><w:rPr><w:rFonts w:ascii="Times New Roman" w:hAnsi="Times New Roman" w:eastAsia="Times New Roman" w:cs="Times New Roman"/><w:color w:val="000000"/><w:sz w:val="20"/><w:szCs w:val="20"/></w:rPr><w:t xml:space="preserve">1,875</w:t></w:r><w:r><w:rPr><w:rFonts w:ascii="Times New Roman" w:hAnsi="Times New Roman" w:eastAsia="Times New Roman" w:cs="Times New Roman"/><w:color w:val="000000"/><w:sz w:val="20"/><w:szCs w:val="20"/></w:rPr><w:t xml:space="preserve">. The remaining principal balance of $</w:t></w:r><w:r><w:rPr><w:rFonts w:ascii="Times New Roman" w:hAnsi="Times New Roman" w:eastAsia="Times New Roman" w:cs="Times New Roman"/><w:color w:val="000000"/><w:sz w:val="20"/><w:szCs w:val="20"/></w:rPr><w:t xml:space="preserve">50,625</w:t></w:r><w:r><w:rPr><w:rFonts w:ascii="Times New Roman" w:hAnsi="Times New Roman" w:eastAsia="Times New Roman" w:cs="Times New Roman"/><w:color w:val="000000"/><w:sz w:val="20"/><w:szCs w:val="20"/></w:rPr><w:t xml:space="preserve"> is also due on the Term Loan Maturity Date. The Company may prepay the Term Loan Facility. Once repaid, amounts borrowed under the Term Loan Facility may not be re-borrowed.</w:t></w:r></w:p><w:p><w:pPr><w:jc w:val="start"/><w:ind w:left="0" w:right="0" w:firstLine="0" w:hanging="0"/><w:spacing w:before="120" w:after="0"/></w:pPr><w:r><w:rPr><w:rFonts w:ascii="Times New Roman" w:hAnsi="Times New Roman" w:eastAsia="Times New Roman" w:cs="Times New Roman"/><w:color w:val="000000"/><w:sz w:val="20"/><w:szCs w:val="2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Times New Roman" w:hAnsi="Times New Roman" w:eastAsia="Times New Roman" w:cs="Times New Roman"/><w:color w:val="000000"/><w:sz w:val="20"/><w:szCs w:val="20"/></w:rPr><w:t xml:space="preserve">0.25</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0.45</w:t></w:r><w:r><w:rPr><w:rFonts w:ascii="Times New Roman" w:hAnsi="Times New Roman" w:eastAsia="Times New Roman" w:cs="Times New Roman"/><w:color w:val="000000"/><w:sz w:val="20"/><w:szCs w:val="2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120" w:after="0"/></w:pPr><w:r><w:rPr><w:rFonts w:ascii="Times New Roman" w:hAnsi="Times New Roman" w:eastAsia="Times New Roman" w:cs="Times New Roman"/><w:color w:val="000000"/><w:sz w:val="20"/><w:szCs w:val="20"/></w:rPr><w:t xml:space="preserve">Under the 2021 Credit Agreement, the Company is required to comply with certain financial covenants including the Consolidated Fixed Charge Coverage Ratio and Consolidated Total Net Leverage Ratio, tested quarterly. In addition, the Company is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w:pPr><w:r><w:rPr><w:rFonts w:ascii="Times New Roman" w:hAnsi="Times New Roman" w:eastAsia="Times New Roman" w:cs="Times New Roman"/><w:color w:val="000000"/><w:sz w:val="20"/><w:szCs w:val="20"/></w:rPr><w:t xml:space="preserve">The C</w:t></w:r><w:r><w:rPr><w:rFonts w:ascii="Times New Roman" w:hAnsi="Times New Roman" w:eastAsia="Times New Roman" w:cs="Times New Roman"/><w:color w:val="000000"/><w:sz w:val="20"/><w:szCs w:val="20"/></w:rPr><w:t xml:space="preserve">ompany recorded debt issuance costs and related fees of $</w:t></w:r><w:r><w:rPr><w:rFonts w:ascii="Times New Roman" w:hAnsi="Times New Roman" w:eastAsia="Times New Roman" w:cs="Times New Roman"/><w:color w:val="000000"/><w:sz w:val="20"/><w:szCs w:val="20"/></w:rPr><w:t xml:space="preserve">604</w:t></w:r><w:r><w:rPr><w:rFonts w:ascii="Times New Roman" w:hAnsi="Times New Roman" w:eastAsia="Times New Roman" w:cs="Times New Roman"/><w:color w:val="000000"/><w:sz w:val="20"/><w:szCs w:val="20"/></w:rPr><w:t xml:space="preserve"> in connection with entering into the Term Loan Facility, which are recorded as a reduction of the carrying value of the term loan on the accompanying condensed consolidated balance sheets. In connection with entering into the Revolving Facility, the Company recorded debt issuance costs and related fees of $</w:t></w:r><w:r><w:rPr><w:rFonts w:ascii="Times New Roman" w:hAnsi="Times New Roman" w:eastAsia="Times New Roman" w:cs="Times New Roman"/><w:color w:val="000000"/><w:sz w:val="20"/><w:szCs w:val="20"/></w:rPr><w:t xml:space="preserve">1,223</w:t></w:r><w:r><w:rPr><w:rFonts w:ascii="Times New Roman" w:hAnsi="Times New Roman" w:eastAsia="Times New Roman" w:cs="Times New Roman"/><w:color w:val="000000"/><w:sz w:val="20"/><w:szCs w:val="20"/></w:rPr><w:t xml:space="preserve">, which are recorded as other assets. Both of these costs are being amortized to interest expense through the maturity date of the Facilities.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June 30, 2024 and December 31, 2023, the Company had outstanding borrowings of $</w:t></w:r><w:r><w:rPr><w:rFonts w:ascii="Times New Roman" w:hAnsi="Times New Roman" w:eastAsia="Times New Roman" w:cs="Times New Roman"/><w:color w:val="000000"/><w:sz w:val="20"/><w:szCs w:val="20"/></w:rPr><w:t xml:space="preserve">63,750</w:t></w:r><w:r><w:rPr><w:rFonts w:ascii="Times New Roman" w:hAnsi="Times New Roman" w:eastAsia="Times New Roman" w:cs="Times New Roman"/><w:color w:val="000000"/><w:sz w:val="20"/><w:szCs w:val="20"/></w:rPr><w:t xml:space="preserve"> an</w:t></w:r><w:r><w:rPr><w:rFonts w:ascii="Times New Roman" w:hAnsi="Times New Roman" w:eastAsia="Times New Roman" w:cs="Times New Roman"/><w:color w:val="000000"/><w:sz w:val="20"/><w:szCs w:val="20"/></w:rPr><w:t xml:space="preserve">d $</w:t></w:r><w:r><w:rPr><w:rFonts w:ascii="Times New Roman" w:hAnsi="Times New Roman" w:eastAsia="Times New Roman" w:cs="Times New Roman"/><w:color w:val="000000"/><w:sz w:val="20"/><w:szCs w:val="20"/></w:rPr><w:t xml:space="preserve">66,563</w:t></w:r><w:r><w:rPr><w:rFonts w:ascii="Times New Roman" w:hAnsi="Times New Roman" w:eastAsia="Times New Roman" w:cs="Times New Roman"/><w:color w:val="000000"/><w:sz w:val="20"/><w:szCs w:val="20"/></w:rPr><w:t xml:space="preserve"> under the Term Loan Facility, respectively, and $</w:t></w:r><w:r><w:rPr><w:rFonts w:ascii="Times New Roman" w:hAnsi="Times New Roman" w:eastAsia="Times New Roman" w:cs="Times New Roman"/><w:color w:val="000000"/><w:sz w:val="20"/><w:szCs w:val="20"/></w:rPr><w:t xml:space="preserve">0</w:t></w:r><w:r><w:rPr><w:rFonts w:ascii="Times New Roman" w:hAnsi="Times New Roman" w:eastAsia="Times New Roman" w:cs="Times New Roman"/><w:color w:val="000000"/><w:sz w:val="20"/><w:szCs w:val="20"/></w:rPr><w:t xml:space="preserve"> under the Revolving Facility with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available for future revolving borrowings.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future payments due under the Term Loan Facility as of </w:t></w:r><w:r><w:rPr><w:rFonts w:ascii="Times New Roman" w:hAnsi="Times New Roman" w:eastAsia="Times New Roman" w:cs="Times New Roman"/><w:color w:val="000000"/><w:sz w:val="20"/><w:szCs w:val="20"/></w:rPr><w:t xml:space="preserve">June 30, 2024, are as follows for the calendar years ending December 31:</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2200" w:type="dxa"/><w:gridCol w:w="400" w:type="dxa"/><w:gridCol w:w="50" w:type="dxa"/><w:gridCol w:w="37850" w:type="dxa"/><w:gridCol w:w="50" w:type="dxa"/></w:tblGrid><w:tblPr><w:tblW w:w="0" w:type="pct"/><w:tblLayout w:type="autofit"/></w:tblPr><w:tr><w:trPr/><w:tc><w:tcPr><w:tcW w:w="22200" w:type="pct"/><w:noWrap/></w:tcPr><w:p><w:pPr/></w:p></w:tc><w:tc><w:tcPr><w:tcW w:w="400" w:type="pct"/><w:noWrap/></w:tcPr><w:p><w:pPr/></w:p></w:tc><w:tc><w:tcPr><w:tcW w:w="50" w:type="pct"/><w:noWrap/></w:tcPr><w:p><w:pPr/></w:p></w:tc><w:tc><w:tcPr><w:tcW w:w="37850" w:type="pct"/><w:noWrap/></w:tcPr><w:p><w:pPr/></w:p></w:tc><w:tc><w:tcPr><w:tcW w:w="50" w:type="pct"/><w:noWrap/></w:tcPr><w:p><w:pP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2024 (remaining six months)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2,812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2025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6,563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2026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54,375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63,750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11. Stockholders’ Equity and Stock-Based Compensation</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i w:val="1"/><w:iCs w:val="1"/></w:rPr><w:t xml:space="preserve">Common Stock</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June 30, 2024</w:t></w:r><w:r><w:rPr><w:rFonts w:ascii="Times New Roman" w:hAnsi="Times New Roman" w:eastAsia="Times New Roman" w:cs="Times New Roman"/><w:color w:val="000000"/><w:sz w:val="20"/><w:szCs w:val="20"/></w:rPr><w:t xml:space="preserve">, the issued shares of Class A common stock include </w:t></w:r><w:r><w:rPr><w:rFonts w:ascii="Times New Roman" w:hAnsi="Times New Roman" w:eastAsia="Times New Roman" w:cs="Times New Roman"/><w:color w:val="000000"/><w:sz w:val="20"/><w:szCs w:val="20"/></w:rPr><w:t xml:space="preserve">728,548</w:t></w:r><w:r><w:rPr><w:rFonts w:ascii="Times New Roman" w:hAnsi="Times New Roman" w:eastAsia="Times New Roman" w:cs="Times New Roman"/><w:color w:val="000000"/><w:sz w:val="20"/><w:szCs w:val="20"/></w:rPr><w:t xml:space="preserve"> treasury shares that were reacquired in connection with the redemption of redeemable shares in March 2019.</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 Incentive Plans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November 28, 2018, the Board of Directors of the Company adopted, and on December 10, 2018 the Company’s stockholders approved, the Organogenesis 2018 Equity Incentive Plan (the “2018 Plan”). At the adoption of the 2018 Plan, a total of </w:t></w:r><w:r><w:rPr><w:rFonts w:ascii="Times New Roman" w:hAnsi="Times New Roman" w:eastAsia="Times New Roman" w:cs="Times New Roman"/><w:color w:val="000000"/><w:sz w:val="20"/><w:szCs w:val="20"/></w:rPr><w:t xml:space="preserve">9,198,996</w:t></w:r><w:r><w:rPr><w:rFonts w:ascii="Times New Roman" w:hAnsi="Times New Roman" w:eastAsia="Times New Roman" w:cs="Times New Roman"/><w:color w:val="000000"/><w:sz w:val="20"/><w:szCs w:val="20"/></w:rPr><w:t xml:space="preserve"> shares of Class A common stock was authorized to be issued (subject to adjustment in the case of any stock dividend, stock split, reverse stock split, or similar change in capitalization of the Company). In June 2022, the 2018 Plan was amended to increase the number of shares of Class A common stock reserved for issuance by </w:t></w:r><w:r><w:rPr><w:rFonts w:ascii="Times New Roman" w:hAnsi="Times New Roman" w:eastAsia="Times New Roman" w:cs="Times New Roman"/><w:color w:val="000000"/><w:sz w:val="20"/><w:szCs w:val="20"/></w:rPr><w:t xml:space="preserve">7,826,970</w:t></w:r><w:r><w:rPr><w:rFonts w:ascii="Times New Roman" w:hAnsi="Times New Roman" w:eastAsia="Times New Roman" w:cs="Times New Roman"/><w:color w:val="000000"/><w:sz w:val="20"/><w:szCs w:val="20"/></w:rPr><w:t xml:space="preserve"> shares. In June 2024, the 2018 Plan was amended to increase the number of shares of Class A common stock reserved for issuance by </w:t></w:r><w:r><w:rPr><w:rFonts w:ascii="Times New Roman" w:hAnsi="Times New Roman" w:eastAsia="Times New Roman" w:cs="Times New Roman"/><w:color w:val="000000"/><w:sz w:val="20"/><w:szCs w:val="20"/></w:rPr><w:t xml:space="preserve">15,900,000</w:t></w:r><w:r><w:rPr><w:rFonts w:ascii="Times New Roman" w:hAnsi="Times New Roman" w:eastAsia="Times New Roman" w:cs="Times New Roman"/><w:color w:val="000000"/><w:sz w:val="20"/><w:szCs w:val="20"/></w:rPr><w:t xml:space="preserve"> shares.</w:t></w:r></w:p><w:p><w:pPr><w:jc w:val="start"/><w:ind w:left="0" w:right="0" w:firstLine="0" w:hanging="0"/><w:spacing w:before="120" w:after="0"/></w:pPr><w:r><w:rPr><w:rFonts w:ascii="Times New Roman" w:hAnsi="Times New Roman" w:eastAsia="Times New Roman" w:cs="Times New Roman"/><w:color w:val="000000"/><w:sz w:val="20"/><w:szCs w:val="20"/></w:rPr><w:t xml:space="preserve">The Organogenesis 2003 Stock Incentive Plan (the “2003 Plan”), provided for the Company to issue restricted stock awards, or to grant incentive stock options or non-statutory stock options. Effective December 10, 2018, no additional awards may be made under the 2003 Plan.</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Stock-Based Compensation Expense</w:t></w:r></w:p><w:p><w:pPr><w:jc w:val="start"/><w:ind w:left="0" w:right="0" w:firstLine="0" w:hanging="0"/><w:spacing w:before="120" w:after="0"/></w:pPr><w:r><w:rPr><w:rFonts w:ascii="Times New Roman" w:hAnsi="Times New Roman" w:eastAsia="Times New Roman" w:cs="Times New Roman"/><w:color w:val="000000"/><w:sz w:val="20"/><w:szCs w:val="20"/></w:rPr><w:t xml:space="preserve">Stock options awarded under the stock incentive plans expire </w:t></w:r><w:r><w:rPr><w:rFonts w:ascii="Times New Roman" w:hAnsi="Times New Roman" w:eastAsia="Times New Roman" w:cs="Times New Roman"/><w:color w:val="000000"/><w:sz w:val="20"/><w:szCs w:val="20"/></w:rPr><w:t xml:space="preserve">10</w:t></w:r><w:r><w:rPr><w:rFonts w:ascii="Times New Roman" w:hAnsi="Times New Roman" w:eastAsia="Times New Roman" w:cs="Times New Roman"/><w:color w:val="000000"/><w:sz w:val="20"/><w:szCs w:val="20"/></w:rPr><w:t xml:space="preserve"> years after the grant date and typically vest over </w:t></w:r><w:r><w:rPr><w:rFonts w:ascii="Times New Roman" w:hAnsi="Times New Roman" w:eastAsia="Times New Roman" w:cs="Times New Roman"/><w:color w:val="000000"/><w:sz w:val="20"/><w:szCs w:val="20"/></w:rPr><w:t xml:space="preserve">four</w:t></w:r><w:r><w:rPr><w:rFonts w:ascii="Times New Roman" w:hAnsi="Times New Roman" w:eastAsia="Times New Roman" w:cs="Times New Roman"/><w:color w:val="000000"/><w:sz w:val="20"/><w:szCs w:val="20"/></w:rPr><w:t xml:space="preserve"> or </w:t></w:r><w:r><w:rPr><w:rFonts w:ascii="Times New Roman" w:hAnsi="Times New Roman" w:eastAsia="Times New Roman" w:cs="Times New Roman"/><w:color w:val="000000"/><w:sz w:val="20"/><w:szCs w:val="20"/></w:rPr><w:t xml:space="preserve">five years</w:t></w:r><w:r><w:rPr><w:rFonts w:ascii="Times New Roman" w:hAnsi="Times New Roman" w:eastAsia="Times New Roman" w:cs="Times New Roman"/><w:color w:val="000000"/><w:sz w:val="20"/><w:szCs w:val="20"/></w:rPr><w:t xml:space="preserve">. Restricted stock units awarded typically vest over four years.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Stock-based compensation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2,568</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4,975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2,299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4,213</w:t></w:r><w:r><w:rPr><w:rFonts w:ascii="Times New Roman" w:hAnsi="Times New Roman" w:eastAsia="Times New Roman" w:cs="Times New Roman"/><w:color w:val="000000"/><w:sz w:val="20"/><w:szCs w:val="20"/></w:rPr><w:t xml:space="preserve"> for the three and six months ended June 30, 2024 and 2023, respectively. The total amount of stock-based compensation expense was included within selling, general and administrative expenses on the condensed consolidated statements of operations and comprehensive income (loss).</w:t></w:r></w:p><w:p><w:pPr><w:jc w:val="start"/><w:spacing w:before="240" w:after="0"/></w:pPr><w:r><w:rPr><w:rFonts w:ascii="Times New Roman" w:hAnsi="Times New Roman" w:eastAsia="Times New Roman" w:cs="Times New Roman"/><w:color w:val="000000"/><w:sz w:val="20"/><w:szCs w:val="20"/><w:b w:val="1"/><w:bCs w:val="1"/><w:i w:val="1"/><w:iCs w:val="1"/></w:rPr><w:t xml:space="preserve">Restricted Stock Units (RSUs)</w:t></w:r></w:p><w:p><w:pPr><w:jc w:val="start"/><w:ind w:left="0" w:right="0" w:firstLine="0" w:hanging="0"/><w:spacing w:before="120" w:after="0"/></w:pPr><w:r><w:rPr><w:rFonts w:ascii="Times New Roman" w:hAnsi="Times New Roman" w:eastAsia="Times New Roman" w:cs="Times New Roman"/><w:color w:val="000000"/><w:sz w:val="20"/><w:szCs w:val="20"/></w:rPr><w:t xml:space="preserve">The Company granted </w:t></w:r><w:r><w:rPr><w:rFonts w:ascii="Times New Roman" w:hAnsi="Times New Roman" w:eastAsia="Times New Roman" w:cs="Times New Roman"/><w:color w:val="000000"/><w:sz w:val="20"/><w:szCs w:val="20"/></w:rPr><w:t xml:space="preserve">1,914,335</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3,192,372</w:t></w:r><w:r><w:rPr><w:rFonts w:ascii="Times New Roman" w:hAnsi="Times New Roman" w:eastAsia="Times New Roman" w:cs="Times New Roman"/><w:color w:val="000000"/><w:sz w:val="20"/><w:szCs w:val="20"/></w:rPr><w:t xml:space="preserve"> time-based restricted stock units to its employees, executives and members of the Board of Directors in the </w:t></w:r><w:r><w:rPr><w:rFonts w:ascii="Times New Roman" w:hAnsi="Times New Roman" w:eastAsia="Times New Roman" w:cs="Times New Roman"/><w:color w:val="000000"/><w:sz w:val="20"/><w:szCs w:val="20"/></w:rPr><w:t xml:space="preserve">six months ended June 30, 2024 and 2023, respectively. Each restricted stock unit represents the contingent right to receive one share of the Company’s Class A common stock. A majority of the restricted stock units will vest in four equal annual installments. The fair value of the restricted stock units was based on the fair market value of the Company’s stock on the date of grant.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activity of restricted stock un</w:t></w:r><w:r><w:rPr><w:rFonts w:ascii="Times New Roman" w:hAnsi="Times New Roman" w:eastAsia="Times New Roman" w:cs="Times New Roman"/><w:color w:val="000000"/><w:sz w:val="20"/><w:szCs w:val="20"/></w:rPr><w:t xml:space="preserve">its is set forth below:</w:t></w:r></w:p><w:p><w:pPr><w:jc w:val="start"/><w:ind w:left="0" w:right="0" w:firstLine="0" w:hanging="0"/><w:spacing w:before="0" w:after="0"/></w:pPr><w:r><w:rPr><w:rFonts w:ascii="Times New Roman" w:hAnsi="Times New Roman" w:eastAsia="Times New Roman" w:cs="Times New Roman"/><w:sz w:val="24"/><w:szCs w:val="24"/></w:rPr><w:t xml:space="preserve"> </w:t></w:r></w:p><w:tbl><w:tblGrid><w:gridCol w:w="200" w:type="dxa"/><w:gridCol w:w="200" w:type="dxa"/><w:gridCol w:w="50" w:type="dxa"/><w:gridCol w:w="1700" w:type="dxa"/><w:gridCol w:w="50" w:type="dxa"/><w:gridCol w:w="1800" w:type="dxa"/><w:gridCol w:w="50" w:type="dxa"/><w:gridCol w:w="43000000000000050" w:type="dxa"/><w:gridCol w:w="50" w:type="dxa"/></w:tblGrid><w:tblPr><w:tblW w:w="0" w:type="pct"/><w:tblLayout w:type="autofit"/></w:tblPr><w:tr><w:trPr/><w:tc><w:tcPr><w:tcW w:w="200" w:type="pct"/><w:noWrap/></w:tcPr><w:p><w:pPr/></w:p></w:tc><w:tc><w:tcPr><w:tcW w:w="200" w:type="pct"/><w:noWrap/></w:tcPr><w:p><w:pPr/></w:p></w:tc><w:tc><w:tcPr><w:tcW w:w="50" w:type="pct"/><w:noWrap/></w:tcPr><w:p><w:pPr/></w:p></w:tc><w:tc><w:tcPr><w:tcW w:w="1700" w:type="pct"/><w:noWrap/></w:tcPr><w:p><w:pPr/></w:p></w:tc><w:tc><w:tcPr><w:tcW w:w="50" w:type="pct"/><w:noWrap/></w:tcPr><w:p><w:pPr/></w:p></w:tc><w:tc><w:tcPr><w:tcW w:w="1800" w:type="pct"/><w:noWrap/></w:tcPr><w:p><w:pPr/></w:p></w:tc><w:tc><w:tcPr><w:tcW w:w="50" w:type="pct"/><w:noWrap/></w:tcPr><w:p><w:pPr/></w:p></w:tc><w:tc><w:tcPr><w:tcW w:w="43000000000000050" w:type="pct"/><w:noWrap/></w:tcPr><w:p><w:pPr/></w:p></w:tc><w:tc><w:tcPr><w:tcW w:w="50" w:type="pct"/><w:noWrap/></w:tcPr><w:p><w:pP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Number</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 Average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of RSUs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Grant Date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gridSpan w:val="3"/><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Fair Value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December 31, 2023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3,898,331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1,914,335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3.39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Vested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1,429,948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3.65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54,498</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4.23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June 30, 2024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4,328,220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120" w:after="0"/></w:pPr><w:r><w:rPr><w:rFonts w:ascii="Times New Roman" w:hAnsi="Times New Roman" w:eastAsia="Times New Roman" w:cs="Times New Roman"/><w:color w:val="000000"/><w:sz w:val="20"/><w:szCs w:val="20"/></w:rPr><w:t xml:space="preserve">As of June 30, 2024, the total unrecognized compensation cost related to unvested restricted stock units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10,130</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2.63</w:t></w:r><w:r><w:rPr><w:rFonts w:ascii="Times New Roman" w:hAnsi="Times New Roman" w:eastAsia="Times New Roman" w:cs="Times New Roman"/><w:color w:val="000000"/><w:sz w:val="20"/><w:szCs w:val="20"/></w:rPr><w:t xml:space="preserve"> years.</w:t></w:r></w:p><w:p><w:pPr><w:jc w:val="center"/><w:spacing w:before="240" w:after="0"/></w:pPr><w:r><w:rPr><w:rFonts w:ascii="Times New Roman" w:hAnsi="Times New Roman" w:eastAsia="Times New Roman" w:cs="Times New Roman"/><w:color w:val="000000"/><w:sz w:val="20"/><w:szCs w:val="20"/></w:rPr><w:t xml:space="preserve">14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 Options</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the Company’s stock option activity sin</w:t></w:r><w:r><w:rPr><w:rFonts w:ascii="Times New Roman" w:hAnsi="Times New Roman" w:eastAsia="Times New Roman" w:cs="Times New Roman"/><w:color w:val="000000"/><w:sz w:val="20"/><w:szCs w:val="20"/></w:rPr><w:t xml:space="preserve">ce December 31, 2023:</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400" w:type="dxa"/><w:gridCol w:w="50" w:type="dxa"/><w:gridCol w:w="50" w:type="dxa"/><w:gridCol w:w="3700" w:type="dxa"/><w:gridCol w:w="50" w:type="dxa"/><w:gridCol w:w="50" w:type="dxa"/><w:gridCol w:w="50" w:type="dxa"/><w:gridCol w:w="3900" w:type="dxa"/><w:gridCol w:w="50" w:type="dxa"/><w:gridCol w:w="50" w:type="dxa"/><w:gridCol w:w="50" w:type="dxa"/><w:gridCol w:w="3700" w:type="dxa"/><w:gridCol w:w="50" w:type="dxa"/><w:gridCol w:w="50" w:type="dxa"/><w:gridCol w:w="50" w:type="dxa"/><w:gridCol w:w="1300" w:type="dxa"/><w:gridCol w:w="50" w:type="dxa"/></w:tblGrid><w:tblPr><w:tblW w:w="0" w:type="pct"/><w:tblLayout w:type="autofit"/></w:tblPr><w:tr><w:trPr/><w:tc><w:tcPr><w:tcW w:w="2400" w:type="pct"/><w:noWrap/></w:tcPr><w:p><w:pPr/></w:p></w:tc><w:tc><w:tcPr><w:tcW w:w="50" w:type="pct"/><w:noWrap/></w:tcPr><w:p><w:pPr/></w:p></w:tc><w:tc><w:tcPr><w:tcW w:w="50" w:type="pct"/><w:noWrap/></w:tcPr><w:p><w:pPr/></w:p></w:tc><w:tc><w:tcPr><w:tcW w:w="3700" w:type="pct"/><w:noWrap/></w:tcPr><w:p><w:pPr/></w:p></w:tc><w:tc><w:tcPr><w:tcW w:w="50" w:type="pct"/><w:noWrap/></w:tcPr><w:p><w:pPr/></w:p></w:tc><w:tc><w:tcPr><w:tcW w:w="50" w:type="pct"/><w:noWrap/></w:tcPr><w:p><w:pPr/></w:p></w:tc><w:tc><w:tcPr><w:tcW w:w="50" w:type="pct"/><w:noWrap/></w:tcPr><w:p><w:pPr/></w:p></w:tc><w:tc><w:tcPr><w:tcW w:w="3900" w:type="pct"/><w:noWrap/></w:tcPr><w:p><w:pPr/></w:p></w:tc><w:tc><w:tcPr><w:tcW w:w="50" w:type="pct"/><w:noWrap/></w:tcPr><w:p><w:pPr/></w:p></w:tc><w:tc><w:tcPr><w:tcW w:w="50" w:type="pct"/><w:noWrap/></w:tcPr><w:p><w:pPr/></w:p></w:tc><w:tc><w:tcPr><w:tcW w:w="50" w:type="pct"/><w:noWrap/></w:tcPr><w:p><w:pPr/></w:p></w:tc><w:tc><w:tcPr><w:tcW w:w="3700" w:type="pct"/><w:noWrap/></w:tcPr><w:p><w:pPr/></w:p></w:tc><w:tc><w:tcPr><w:tcW w:w="50" w:type="pct"/><w:noWrap/></w:tcPr><w:p><w:pPr/></w:p></w:tc><w:tc><w:tcPr><w:tcW w:w="50" w:type="pct"/><w:noWrap/></w:tcPr><w:p><w:pPr/></w:p></w:tc><w:tc><w:tcPr><w:tcW w:w="50" w:type="pct"/><w:noWrap/></w:tcPr><w:p><w:pPr/></w:p></w:tc><w:tc><w:tcPr><w:tcW w:w="1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Remaining</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Contractual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Aggregate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Exercise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Term</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Intrinsic</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Options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Price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 years)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Outstanding as of December 31, 2023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9,340,046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4.60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6.66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10,267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2,640,601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3.43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Exercised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152,250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139,981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2.84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161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Outstanding as of June 30,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11,688,416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7.08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3,029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Options exercisable as of June 30, 2024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5,536,271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4.93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5.06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2,269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vested or expected to vest as of June 30,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10,502,883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4.49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6.86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2,884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The stock options granted during the six months ended June 30, 2024 and 2023 were </w:t></w:r><w:r><w:rPr><w:rFonts w:ascii="Times New Roman" w:hAnsi="Times New Roman" w:eastAsia="Times New Roman" w:cs="Times New Roman"/><w:color w:val="000000"/><w:sz w:val="20"/><w:szCs w:val="20"/></w:rPr><w:t xml:space="preserve">2,640,601</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3,554,528</w:t></w:r><w:r><w:rPr><w:rFonts w:ascii="Times New Roman" w:hAnsi="Times New Roman" w:eastAsia="Times New Roman" w:cs="Times New Roman"/><w:color w:val="000000"/><w:sz w:val="20"/><w:szCs w:val="20"/></w:rPr><w:t xml:space="preserve">, respectively.</w:t></w:r></w:p><w:p><w:pPr><w:jc w:val="start"/><w:ind w:left="0" w:right="0" w:firstLine="0" w:hanging="0"/><w:spacing w:before="0" w:after="120"/></w:pPr><w:r><w:rPr><w:rFonts w:ascii="Times New Roman" w:hAnsi="Times New Roman" w:eastAsia="Times New Roman" w:cs="Times New Roman"/><w:color w:val="000000"/><w:sz w:val="20"/><w:szCs w:val="2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p><w:p><w:pPr><w:jc w:val="start"/><w:ind w:left="0" w:right="0" w:firstLine="0" w:hanging="0"/><w:spacing w:before="0" w:after="120"/></w:pPr><w:r><w:rPr><w:rFonts w:ascii="Times New Roman" w:hAnsi="Times New Roman" w:eastAsia="Times New Roman" w:cs="Times New Roman"/><w:color w:val="000000"/><w:sz w:val="20"/><w:szCs w:val="20"/></w:rPr><w:t xml:space="preserve">The weighted-average grant-date fair value per share of stock options granted during the six months ended June 30, 2024 and 2023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1.32</w:t></w:r><w:r><w:rPr><w:rFonts w:ascii="Times New Roman" w:hAnsi="Times New Roman" w:eastAsia="Times New Roman" w:cs="Times New Roman"/><w:color w:val="000000"/><w:sz w:val="20"/><w:szCs w:val="20"/></w:rPr><w:t xml:space="preserve">, respectively. The total fair value of options vested during the six months ended June 30, 2024 and 2023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4,089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3,070</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As of June 30, 2024, the total unrecognized stock compensation expense related to unvested stock options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8,345</w:t></w:r><w:r><w:rPr><w:rFonts w:ascii="Times New Roman" w:hAnsi="Times New Roman" w:eastAsia="Times New Roman" w:cs="Times New Roman"/><w:color w:val="000000"/><w:sz w:val="20"/><w:szCs w:val="20"/></w:rPr><w:t xml:space="preserve"> and was expected to be recognized over a weighted-average period of </w:t></w:r><w:r><w:rPr><w:rFonts w:ascii="Times New Roman" w:hAnsi="Times New Roman" w:eastAsia="Times New Roman" w:cs="Times New Roman"/><w:color w:val="000000"/><w:sz w:val="20"/><w:szCs w:val="20"/></w:rPr><w:t xml:space="preserve">2.66</w:t></w:r><w:r><w:rPr><w:rFonts w:ascii="Times New Roman" w:hAnsi="Times New Roman" w:eastAsia="Times New Roman" w:cs="Times New Roman"/><w:color w:val="000000"/><w:sz w:val="20"/><w:szCs w:val="20"/></w:rPr><w:t xml:space="preserve"> years.</w:t></w:r></w:p><w:p><w:pPr><w:jc w:val="start"/><w:spacing w:before="360" w:after="0"/></w:pPr><w:r><w:rPr><w:rFonts w:ascii="Times New Roman" w:hAnsi="Times New Roman" w:eastAsia="Times New Roman" w:cs="Times New Roman"/><w:color w:val="000000"/><w:sz w:val="20"/><w:szCs w:val="20"/><w:b w:val="1"/><w:bCs w:val="1"/></w:rPr><w:t xml:space="preserve">12</w:t></w:r><w:r><w:rPr><w:rFonts w:ascii="Times New Roman" w:hAnsi="Times New Roman" w:eastAsia="Times New Roman" w:cs="Times New Roman"/><w:color w:val="000000"/><w:sz w:val="20"/><w:szCs w:val="20"/><w:b w:val="1"/><w:bCs w:val="1"/></w:rPr><w:t xml:space="preserve">. Earnings per Share (EPS)</w:t></w:r></w:p><w:p><w:pPr><w:jc w:val="start"/><w:ind w:left="0" w:right="0" w:firstLine="0" w:hanging="0"/><w:spacing w:before="120" w:after="0"/></w:pPr><w:r><w:rPr><w:rFonts w:ascii="Times New Roman" w:hAnsi="Times New Roman" w:eastAsia="Times New Roman" w:cs="Times New Roman"/><w:color w:val="000000"/><w:sz w:val="20"/><w:szCs w:val="20"/></w:rPr><w:t xml:space="preserve">Basic EPS is calculated by dividing net income (loss) by the weighted-average number of shares outstanding during the period. Diluted EPS is calculated by dividing net income by the weighted-average number of shares outstanding plus the dilutive effect, if any, of outstanding equity awards using the treasury stock method which includes consideration of unrecognized compensation expenses as additional proceeds.</w:t></w:r><w:r><w:rPr><w:rFonts w:ascii="Times New Roman" w:hAnsi="Times New Roman" w:eastAsia="Times New Roman" w:cs="Times New Roman"/><w:color w:val="000000"/><w:sz w:val="20"/><w:szCs w:val="20"/></w:rPr><w:t xml:space="preserve"> </w:t></w:r></w:p><w:p><w:pPr><w:jc w:val="start"/><w:ind w:left="0" w:right="0" w:firstLine="0" w:hanging="0"/><w:spacing w:before="120" w:after="240"/></w:pPr><w:r><w:rPr><w:rFonts w:ascii="Times New Roman" w:hAnsi="Times New Roman" w:eastAsia="Times New Roman" w:cs="Times New Roman"/><w:color w:val="000000"/><w:sz w:val="20"/><w:szCs w:val="20"/></w:rPr><w:t xml:space="preserve">Basic and diluted net income (loss) attributable to the Class A common stockholders was calculated as follows:</w:t></w:r></w:p><w:tbl><w:tblGrid><w:gridCol w:w="48050" w:type="dxa"/><w:gridCol w:w="50" w:type="dxa"/><w:gridCol w:w="50" w:type="dxa"/><w:gridCol w:w="49750" w:type="dxa"/><w:gridCol w:w="50" w:type="dxa"/><w:gridCol w:w="50" w:type="dxa"/><w:gridCol w:w="50" w:type="dxa"/><w:gridCol w:w="17800" w:type="dxa"/><w:gridCol w:w="50" w:type="dxa"/><w:gridCol w:w="100" w:type="dxa"/><w:gridCol w:w="50" w:type="dxa"/><w:gridCol w:w="23800" w:type="dxa"/><w:gridCol w:w="50" w:type="dxa"/><w:gridCol w:w="100" w:type="dxa"/><w:gridCol w:w="50" w:type="dxa"/><w:gridCol w:w="8800" w:type="dxa"/><w:gridCol w:w="50" w:type="dxa"/></w:tblGrid><w:tblPr><w:tblW w:w="0" w:type="pct"/><w:tblLayout w:type="autofit"/></w:tblPr><w:tr><w:trPr/><w:tc><w:tcPr><w:tcW w:w="48050" w:type="pct"/><w:noWrap/></w:tcPr><w:p><w:pPr/></w:p></w:tc><w:tc><w:tcPr><w:tcW w:w="50" w:type="pct"/><w:noWrap/></w:tcPr><w:p><w:pPr/></w:p></w:tc><w:tc><w:tcPr><w:tcW w:w="50" w:type="pct"/><w:noWrap/></w:tcPr><w:p><w:pPr/></w:p></w:tc><w:tc><w:tcPr><w:tcW w:w="49750" w:type="pct"/><w:noWrap/></w:tcPr><w:p><w:pPr/></w:p></w:tc><w:tc><w:tcPr><w:tcW w:w="50" w:type="pct"/><w:noWrap/></w:tcPr><w:p><w:pPr/></w:p></w:tc><w:tc><w:tcPr><w:tcW w:w="50" w:type="pct"/><w:noWrap/></w:tcPr><w:p><w:pPr/></w:p></w:tc><w:tc><w:tcPr><w:tcW w:w="50" w:type="pct"/><w:noWrap/></w:tcPr><w:p><w:pPr/></w:p></w:tc><w:tc><w:tcPr><w:tcW w:w="17800" w:type="pct"/><w:noWrap/></w:tcPr><w:p><w:pPr/></w:p></w:tc><w:tc><w:tcPr><w:tcW w:w="50" w:type="pct"/><w:noWrap/></w:tcPr><w:p><w:pPr/></w:p></w:tc><w:tc><w:tcPr><w:tcW w:w="100" w:type="pct"/><w:noWrap/></w:tcPr><w:p><w:pPr/></w:p></w:tc><w:tc><w:tcPr><w:tcW w:w="50" w:type="pct"/><w:noWrap/></w:tcPr><w:p><w:pPr/></w:p></w:tc><w:tc><w:tcPr><w:tcW w:w="23800" w:type="pct"/><w:noWrap/></w:tcPr><w:p><w:pPr/></w:p></w:tc><w:tc><w:tcPr><w:tcW w:w="50" w:type="pct"/><w:noWrap/></w:tcPr><w:p><w:pPr/></w:p></w:tc><w:tc><w:tcPr><w:tcW w:w="100" w:type="pct"/><w:noWrap/></w:tcPr><w:p><w:pPr/></w:p></w:tc><w:tc><w:tcPr><w:tcW w:w="50" w:type="pct"/><w:noWrap/></w:tcPr><w:p><w:pPr/></w:p></w:tc><w:tc><w:tcPr><w:tcW w:w="8800" w:type="pct"/><w:noWrap/></w:tcPr><w:p><w:pPr/></w:p></w:tc><w:tc><w:tcPr><w:tcW w:w="50" w:type="pct"/><w:noWrap/></w:tcPr><w:p><w:pP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Numerator: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Net income (loss)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17,043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5,316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19,143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2,347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Denominator: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Weighted average common shares outstanding —basic</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132,573,153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131,293,398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132,217,463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131,189,405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Dilutive effect of restricted stock units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863,523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461,352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Dilutive effect of options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909,089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825,151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Weighted-average common shares outstanding — diluted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132,573,153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133,066,010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132,217,463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132,475,908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income (loss) per share—basic</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0.13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0.04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0.14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0.02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income (loss) per share—diluted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0.13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0.04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0.14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0.02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The Company’s potentially dilutive securities include restricted stock units and stock options to purchase shares of Class A common stock. </w:t></w:r><w:r><w:rPr><w:rFonts w:ascii="Times New Roman" w:hAnsi="Times New Roman" w:eastAsia="Times New Roman" w:cs="Times New Roman"/><w:color w:val="000000"/><w:sz w:val="20"/><w:szCs w:val="20"/></w:rPr><w:t xml:space="preserve">The anti-dilutive potential common stock equivalents of </w:t></w:r><w:r><w:rPr><w:rFonts w:ascii="Times New Roman" w:hAnsi="Times New Roman" w:eastAsia="Times New Roman" w:cs="Times New Roman"/><w:color w:val="000000"/><w:sz w:val="20"/><w:szCs w:val="20"/></w:rPr><w:t xml:space="preserve">16,016,636</w:t></w:r><w:r><w:rPr><w:rFonts w:ascii="Times New Roman" w:hAnsi="Times New Roman" w:eastAsia="Times New Roman" w:cs="Times New Roman"/><w:color w:val="000000"/><w:sz w:val="20"/><w:szCs w:val="20"/></w:rPr><w:t xml:space="preserve"> for </w:t></w:r><w:r><w:rPr><w:rFonts w:ascii="Times New Roman" w:hAnsi="Times New Roman" w:eastAsia="Times New Roman" w:cs="Times New Roman"/><w:color w:val="000000"/><w:sz w:val="20"/><w:szCs w:val="20"/></w:rPr><w:t xml:space="preserve">the three and six months ended June 30, 2024</w:t></w:r><w:r><w:rPr><w:rFonts w:ascii="Times New Roman" w:hAnsi="Times New Roman" w:eastAsia="Times New Roman" w:cs="Times New Roman"/><w:color w:val="000000"/><w:sz w:val="20"/><w:szCs w:val="20"/></w:rPr><w:t xml:space="preserve">, respectively, were excluded from the computation of diluted net loss per share attributable to common stockholders because those stock options to purchase common stock and restricted stock units had an anti-dilutive impact as the Company reported a net loss attributable to common stockholders for those periods. The anti-dilutive potential common stock equivalents of </w:t></w:r><w:r><w:rPr><w:rFonts w:ascii="Times New Roman" w:hAnsi="Times New Roman" w:eastAsia="Times New Roman" w:cs="Times New Roman"/><w:color w:val="000000"/><w:sz w:val="20"/><w:szCs w:val="20"/></w:rPr><w:t xml:space="preserve">8,676,433</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8,763,403</w:t></w:r><w:r><w:rPr><w:rFonts w:ascii="Times New Roman" w:hAnsi="Times New Roman" w:eastAsia="Times New Roman" w:cs="Times New Roman"/><w:color w:val="000000"/><w:sz w:val="20"/><w:szCs w:val="20"/></w:rPr><w:t xml:space="preserve"> for the </w:t></w:r><w:r><w:rPr><w:rFonts w:ascii="Times New Roman" w:hAnsi="Times New Roman" w:eastAsia="Times New Roman" w:cs="Times New Roman"/><w:color w:val="000000"/><w:sz w:val="20"/><w:szCs w:val="20"/></w:rPr><w:t xml:space="preserve">three and six months ended June 30, 2023</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respectively, were excluded from the computation of diluted net income per share attributable to common stockholders because those stock options to purchase common stock and restricted stock units had an</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rPr><w:t xml:space="preserve">anti-dilutive </w:t></w:r><w:r><w:rPr><w:rFonts w:ascii="Times New Roman" w:hAnsi="Times New Roman" w:eastAsia="Times New Roman" w:cs="Times New Roman"/><w:color w:val="000000"/><w:sz w:val="20"/><w:szCs w:val="20"/></w:rPr><w:t xml:space="preserve">impact due to the assumed proceeds per share using the treasury stock method being greater than the average fair value of the Company’s common shares for those periods.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13. Leases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leases consist primarily of real estate, equipment and vehicle leases.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leases real estate for office, lab, warehouse and production space under noncancelable leases that expire at various dates through 2035, subject to the Company’s options to terminate or renew certain leases for an additional </w:t></w:r><w:r><w:rPr><w:rFonts w:ascii="Times New Roman" w:hAnsi="Times New Roman" w:eastAsia="Times New Roman" w:cs="Times New Roman"/><w:color w:val="000000"/><w:sz w:val="20"/><w:szCs w:val="20"/></w:rPr><w:t xml:space="preserve">five</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ten years</w:t></w:r><w:r><w:rPr><w:rFonts w:ascii="Times New Roman" w:hAnsi="Times New Roman" w:eastAsia="Times New Roman" w:cs="Times New Roman"/><w:color w:val="000000"/><w:sz w:val="20"/><w:szCs w:val="20"/></w:rPr><w:t xml:space="preserve">. The Company leases vehicles under operating leases for certain employees and has fleet services agreements for service on these vehicles. The minimum lease term for each newly leased vehicle is </w:t></w:r><w:r><w:rPr><w:rFonts w:ascii="Times New Roman" w:hAnsi="Times New Roman" w:eastAsia="Times New Roman" w:cs="Times New Roman"/><w:color w:val="000000"/><w:sz w:val="20"/><w:szCs w:val="20"/></w:rPr><w:t xml:space="preserve">367</w:t></w:r><w:r><w:rPr><w:rFonts w:ascii="Times New Roman" w:hAnsi="Times New Roman" w:eastAsia="Times New Roman" w:cs="Times New Roman"/><w:color w:val="000000"/><w:sz w:val="20"/><w:szCs w:val="20"/></w:rPr><w:t xml:space="preserve"> days with renewal options. The Company may terminate the vehicle lease after the minimum lease term upon thirty days’ prior notice. The Company also leases other equipment under noncancelable leases that expire at various dates through 2026.</w:t></w:r></w:p><w:p><w:pPr><w:jc w:val="start"/><w:ind w:left="0" w:right="0" w:firstLine="0" w:hanging="0"/><w:spacing w:before="120" w:after="0"/></w:pPr><w:r><w:rPr><w:rFonts w:ascii="Times New Roman" w:hAnsi="Times New Roman" w:eastAsia="Times New Roman" w:cs="Times New Roman"/><w:color w:val="000000"/><w:sz w:val="20"/><w:szCs w:val="20"/></w:rPr><w:t xml:space="preserve">On January 1, 2013, the Company entered into finance lease arrangements with 65 Dan Road SPE, LLC, 85 Dan Road Associates, LLC, Dan Road Equity I, LLC and 275 Dan Road SPE, LLC for office and laboratory space in Canton, Massachusetts (the “Related-Party Leases”). 65 Dan Road SPE, LLC, 85 Dan Road Associates, LLC, Dan Road Equity I, LLC and 275 Dan Road SPE, LLC are related parties as the owners of these entities are also directors, former directors and / or stockholders of the Company.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August 2021, the Company purchased the building (the “275 Dan Road Building”)</w:t></w:r><w:r><w:rPr><w:rFonts w:ascii="Times New Roman" w:hAnsi="Times New Roman" w:eastAsia="Times New Roman" w:cs="Times New Roman"/><w:color w:val="000000"/><w:sz w:val="20"/><w:szCs w:val="20"/></w:rPr><w:t xml:space="preserve"> under the lease with 275 Dan Road SPE, LLC for $</w:t></w:r><w:r><w:rPr><w:rFonts w:ascii="Times New Roman" w:hAnsi="Times New Roman" w:eastAsia="Times New Roman" w:cs="Times New Roman"/><w:color w:val="000000"/><w:sz w:val="20"/><w:szCs w:val="20"/></w:rPr><w:t xml:space="preserve">6,013</w:t></w:r><w:r><w:rPr><w:rFonts w:ascii="Times New Roman" w:hAnsi="Times New Roman" w:eastAsia="Times New Roman" w:cs="Times New Roman"/><w:color w:val="000000"/><w:sz w:val="20"/><w:szCs w:val="20"/></w:rPr><w:t xml:space="preserve"> and the lease was terminated. The Company recorded an asset of $</w:t></w:r><w:r><w:rPr><w:rFonts w:ascii="Times New Roman" w:hAnsi="Times New Roman" w:eastAsia="Times New Roman" w:cs="Times New Roman"/><w:color w:val="000000"/><w:sz w:val="20"/><w:szCs w:val="20"/></w:rPr><w:t xml:space="preserve">4,943</w:t></w:r><w:r><w:rPr><w:rFonts w:ascii="Times New Roman" w:hAnsi="Times New Roman" w:eastAsia="Times New Roman" w:cs="Times New Roman"/><w:color w:val="000000"/><w:sz w:val="20"/><w:szCs w:val="20"/></w:rPr><w:t xml:space="preserve"> to buildings within property and equipment, net, to account for the purchase of the leased asset.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remaining three Related-Party Leases were set to terminate on December 31, 2022 and each contained a renewal option for a five-year period with a rental rate at the greater of (i) rent for the last year of the prior term, or (ii) the then fair market value. In November 2021, the Company exercised the option to extend the leases for an additional five years, and at such time, remeasured the right of use assets and lease liabilities based on its best estimate of the market rental rate in the renewal period and reassessed the classification for these leases. As a result, these leases were reclassified from finance leases to operating leases on the consolidated balance sheets as of December 31, 2021. In December 2022, the Company and the landlord finalized the market rental rate in the renewal period for these properties, resulting in an additional $</w:t></w:r><w:r><w:rPr><w:rFonts w:ascii="Times New Roman" w:hAnsi="Times New Roman" w:eastAsia="Times New Roman" w:cs="Times New Roman"/><w:color w:val="000000"/><w:sz w:val="20"/><w:szCs w:val="20"/></w:rPr><w:t xml:space="preserve">8,060</w:t></w:r><w:r><w:rPr><w:rFonts w:ascii="Times New Roman" w:hAnsi="Times New Roman" w:eastAsia="Times New Roman" w:cs="Times New Roman"/><w:color w:val="000000"/><w:sz w:val="20"/><w:szCs w:val="20"/></w:rPr><w:t xml:space="preserve"> to be recorded as variable lease expenses over the renewal period.</w:t></w:r></w:p><w:p><w:pPr><w:jc w:val="start"/><w:ind w:left="0" w:right="0" w:firstLine="0" w:hanging="0"/><w:spacing w:before="120" w:after="0"/></w:pPr><w:r><w:rPr><w:rFonts w:ascii="Times New Roman" w:hAnsi="Times New Roman" w:eastAsia="Times New Roman" w:cs="Times New Roman"/><w:color w:val="000000"/><w:sz w:val="20"/><w:szCs w:val="20"/></w:rPr><w:t xml:space="preserve">Effective April 1, 2019, the Company agreed to accrue interest on accrued but unpaid lease obligations owed for rent in arrears to the owners of the buildings subject to the Related-Party Leases, at an interest rate equal to the rate charged under the 2019 Credit Agreement. The remaining accrued but unpaid lease obligation with respect to the 275 Dan Road Building was paid in five quarterly installments through January 3, 2023, and accordingly at June 30, 2024 and December 31, 2023, there is no remaining balance or accrued interest associated with the 275 Dan Road Building. In the first quarter of 2024, the Company agreed to repay the remaining accrued but unpaid lease obligations and associated accrued interest in installments throughout 2024, the first of which was remitted in the second quarter of 2024. The accrued but unpaid lease obligations as well as the related accrued interest with respect to the remaining three Related-Party Leases are shown below:</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2200" w:type="dxa"/><w:gridCol w:w="50" w:type="dxa"/><w:gridCol w:w="50" w:type="dxa"/><w:gridCol w:w="1400" w:type="dxa"/><w:gridCol w:w="50" w:type="dxa"/><w:gridCol w:w="50" w:type="dxa"/><w:gridCol w:w="50" w:type="dxa"/><w:gridCol w:w="1400" w:type="dxa"/><w:gridCol w:w="50" w:type="dxa"/></w:tblGrid><w:tblPr><w:tblW w:w="0" w:type="pct"/><w:tblLayout w:type="autofit"/></w:tblPr><w:tr><w:trPr/><w:tc><w:tcPr><w:tcW w:w="2200" w:type="pct"/><w:noWrap/></w:tcPr><w:p><w:pPr/></w:p></w:tc><w:tc><w:tcPr><w:tcW w:w="50" w:type="pct"/><w:noWrap/></w:tcPr><w:p><w:pPr/></w:p></w:tc><w:tc><w:tcPr><w:tcW w:w="50" w:type="pct"/><w:noWrap/></w:tcPr><w:p><w:pPr/></w:p></w:tc><w:tc><w:tcPr><w:tcW w:w="1400" w:type="pct"/><w:noWrap/></w:tcPr><w:p><w:pPr/></w:p></w:tc><w:tc><w:tcPr><w:tcW w:w="50" w:type="pct"/><w:noWrap/></w:tcPr><w:p><w:pPr/></w:p></w:tc><w:tc><w:tcPr><w:tcW w:w="50" w:type="pct"/><w:noWrap/></w:tcPr><w:p><w:pPr/></w:p></w:tc><w:tc><w:tcPr><w:tcW w:w="50" w:type="pct"/><w:noWrap/></w:tcPr><w:p><w:pPr/></w:p></w:tc><w:tc><w:tcPr><w:tcW w:w="140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Principal portion of rent in arrears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3,955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5,273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Accrued interest on accrued but unpaid lease obligations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1,881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accrued but unpaid lease obligations owed for rent in arrears on the three remaining Related-Party Leases was included in current portion of operating lease obligations on the accompanying condensed consolidated balance sheets, as of June 30, 2024 and December 31, 2023. The accrued interest on the accrued but unpaid lease obligations was included in accrued expenses and other current liabilities on the condensed consolidated balance sheets as of June 30, 2024 and December 31, 2023.</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components of lease co</w:t></w:r><w:r><w:rPr><w:rFonts w:ascii="Times New Roman" w:hAnsi="Times New Roman" w:eastAsia="Times New Roman" w:cs="Times New Roman"/><w:color w:val="000000"/><w:sz w:val="20"/><w:szCs w:val="20"/></w:rPr><w:t xml:space="preserve">st were as follows:</w:t></w:r></w:p><w:p><w:pPr><w:jc w:val="start"/><w:ind w:left="0" w:right="0" w:firstLine="0" w:hanging="0"/><w:spacing w:before="0" w:after="0"/></w:pPr><w:r><w:rPr><w:rFonts w:ascii="Times New Roman" w:hAnsi="Times New Roman" w:eastAsia="Times New Roman" w:cs="Times New Roman"/><w:sz w:val="24"/><w:szCs w:val="24"/></w:rPr><w:t xml:space="preserve"> </w:t></w:r></w:p><w:tbl><w:tblGrid><w:gridCol w:w="24600" w:type="dxa"/><w:gridCol w:w="39450" w:type="dxa"/><w:gridCol w:w="50" w:type="dxa"/><w:gridCol w:w="1150" w:type="dxa"/><w:gridCol w:w="50" w:type="dxa"/><w:gridCol w:w="21150" w:type="dxa"/><w:gridCol w:w="50" w:type="dxa"/><w:gridCol w:w="3350" w:type="dxa"/><w:gridCol w:w="50" w:type="dxa"/></w:tblGrid><w:tblPr><w:tblW w:w="0" w:type="pct"/><w:tblLayout w:type="autofit"/></w:tblPr><w:tr><w:trPr/><w:tc><w:tcPr><w:tcW w:w="24600" w:type="pct"/><w:noWrap/></w:tcPr><w:p><w:pPr/></w:p></w:tc><w:tc><w:tcPr><w:tcW w:w="39450" w:type="pct"/><w:noWrap/></w:tcPr><w:p><w:pPr/></w:p></w:tc><w:tc><w:tcPr><w:tcW w:w="50" w:type="pct"/><w:noWrap/></w:tcPr><w:p><w:pPr/></w:p></w:tc><w:tc><w:tcPr><w:tcW w:w="1150" w:type="pct"/><w:noWrap/></w:tcPr><w:p><w:pPr/></w:p></w:tc><w:tc><w:tcPr><w:tcW w:w="50" w:type="pct"/><w:noWrap/></w:tcPr><w:p><w:pPr/></w:p></w:tc><w:tc><w:tcPr><w:tcW w:w="21150" w:type="pct"/><w:noWrap/></w:tcPr><w:p><w:pPr/></w:p></w:tc><w:tc><w:tcPr><w:tcW w:w="50" w:type="pct"/><w:noWrap/></w:tcPr><w:p><w:pPr/></w:p></w:tc><w:tc><w:tcPr><w:tcW w:w="3350" w:type="pct"/><w:noWrap/></w:tcPr><w:p><w:pPr/></w:p></w:tc><w:tc><w:tcPr><w:tcW w:w="50" w:type="pct"/><w:noWrap/></w:tcPr><w:p><w:pPr/></w:p></w:tc></w:tr><w:tr><w:trPr><w:trHeight w:val="200" w:hRule="exact"/></w:trPr><w:tc><w:tcPr><w:tcW w:w="0" w:type="pct"/><w:vAlign w:val="top"/><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top"/><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Finance lease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Amortization of right-of-use assets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576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Interest expense on lease liabilities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Total finance lease cost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685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Operating lease cost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4,364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4,779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Short-term lease cost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1,276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1,491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Variable lease cost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2,029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3,370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lease cost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8,354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9,709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Supplemental balance sheet information related to finance l</w:t></w:r><w:r><w:rPr><w:rFonts w:ascii="Times New Roman" w:hAnsi="Times New Roman" w:eastAsia="Times New Roman" w:cs="Times New Roman"/><w:color w:val="000000"/><w:sz w:val="20"/><w:szCs w:val="20"/></w:rPr><w:t xml:space="preserve">eases was as follows:</w:t></w:r></w:p><w:p><w:pPr><w:jc w:val="start"/><w:ind w:left="0" w:right="0" w:firstLine="0" w:hanging="0"/><w:spacing w:before="0" w:after="0"/></w:pPr><w:r><w:rPr><w:rFonts w:ascii="Times New Roman" w:hAnsi="Times New Roman" w:eastAsia="Times New Roman" w:cs="Times New Roman"/><w:sz w:val="24"/><w:szCs w:val="24"/></w:rPr><w:t xml:space="preserve"> </w:t></w:r></w:p><w:tbl><w:tblGrid><w:gridCol w:w="200" w:type="dxa"/><w:gridCol w:w="2300" w:type="dxa"/><w:gridCol w:w="50" w:type="dxa"/><w:gridCol w:w="4200" w:type="dxa"/><w:gridCol w:w="50" w:type="dxa"/><w:gridCol w:w="2300" w:type="dxa"/><w:gridCol w:w="50" w:type="dxa"/><w:gridCol w:w="4200" w:type="dxa"/><w:gridCol w:w="50" w:type="dxa"/></w:tblGrid><w:tblPr><w:tblW w:w="0" w:type="pct"/><w:tblLayout w:type="autofit"/></w:tblPr><w:tr><w:trPr/><w:tc><w:tcPr><w:tcW w:w="200" w:type="pct"/><w:noWrap/></w:tcPr><w:p><w:pPr/></w:p></w:tc><w:tc><w:tcPr><w:tcW w:w="2300" w:type="pct"/><w:noWrap/></w:tcPr><w:p><w:pPr/></w:p></w:tc><w:tc><w:tcPr><w:tcW w:w="50" w:type="pct"/><w:noWrap/></w:tcPr><w:p><w:pPr/></w:p></w:tc><w:tc><w:tcPr><w:tcW w:w="4200" w:type="pct"/><w:noWrap/></w:tcPr><w:p><w:pPr/></w:p></w:tc><w:tc><w:tcPr><w:tcW w:w="50" w:type="pct"/><w:noWrap/></w:tcPr><w:p><w:pPr/></w:p></w:tc><w:tc><w:tcPr><w:tcW w:w="2300" w:type="pct"/><w:noWrap/></w:tcPr><w:p><w:pPr/></w:p></w:tc><w:tc><w:tcPr><w:tcW w:w="50" w:type="pct"/><w:noWrap/></w:tcPr><w:p><w:pPr/></w:p></w:tc><w:tc><w:tcPr><w:tcW w:w="420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 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 2023</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Property and equipment, gross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Accumulated depreciation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1,055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479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Property and equipment, net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2,399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2,975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Supplemental cash flow information related t</w:t></w:r><w:r><w:rPr><w:rFonts w:ascii="Times New Roman" w:hAnsi="Times New Roman" w:eastAsia="Times New Roman" w:cs="Times New Roman"/><w:color w:val="000000"/><w:sz w:val="20"/><w:szCs w:val="20"/></w:rPr><w:t xml:space="preserve">o leases was as follows:</w:t></w:r></w:p><w:p><w:pPr><w:jc w:val="start"/><w:ind w:left="0" w:right="0" w:firstLine="0" w:hanging="0"/><w:spacing w:before="0" w:after="0"/></w:pPr><w:r><w:rPr><w:rFonts w:ascii="Times New Roman" w:hAnsi="Times New Roman" w:eastAsia="Times New Roman" w:cs="Times New Roman"/><w:sz w:val="24"/><w:szCs w:val="24"/></w:rPr><w:t xml:space="preserve"> </w:t></w:r></w:p><w:tbl><w:tblGrid><w:gridCol w:w="200" w:type="dxa"/><w:gridCol w:w="2300" w:type="dxa"/><w:gridCol w:w="50" w:type="dxa"/><w:gridCol w:w="4200" w:type="dxa"/><w:gridCol w:w="50" w:type="dxa"/><w:gridCol w:w="2300" w:type="dxa"/><w:gridCol w:w="50" w:type="dxa"/><w:gridCol w:w="4200" w:type="dxa"/><w:gridCol w:w="50" w:type="dxa"/></w:tblGrid><w:tblPr><w:tblW w:w="0" w:type="pct"/><w:tblLayout w:type="autofit"/></w:tblPr><w:tr><w:trPr/><w:tc><w:tcPr><w:tcW w:w="200" w:type="pct"/><w:noWrap/></w:tcPr><w:p><w:pPr/></w:p></w:tc><w:tc><w:tcPr><w:tcW w:w="2300" w:type="pct"/><w:noWrap/></w:tcPr><w:p><w:pPr/></w:p></w:tc><w:tc><w:tcPr><w:tcW w:w="50" w:type="pct"/><w:noWrap/></w:tcPr><w:p><w:pPr/></w:p></w:tc><w:tc><w:tcPr><w:tcW w:w="4200" w:type="pct"/><w:noWrap/></w:tcPr><w:p><w:pPr/></w:p></w:tc><w:tc><w:tcPr><w:tcW w:w="50" w:type="pct"/><w:noWrap/></w:tcPr><w:p><w:pPr/></w:p></w:tc><w:tc><w:tcPr><w:tcW w:w="2300" w:type="pct"/><w:noWrap/></w:tcPr><w:p><w:pPr/></w:p></w:tc><w:tc><w:tcPr><w:tcW w:w="50" w:type="pct"/><w:noWrap/></w:tcPr><w:p><w:pPr/></w:p></w:tc><w:tc><w:tcPr><w:tcW w:w="4200" w:type="pct"/><w:noWrap/></w:tcPr><w:p><w:pPr/></w:p></w:tc><w:tc><w:tcPr><w:tcW w:w="50" w:type="pct"/><w:noWrap/></w:tcPr><w:p><w:pPr/></w:p></w:tc></w:tr><w:tr><w:trPr><w:trHeight w:val="200" w:hRule="exact"/></w:trPr><w:tc><w:tcPr><w:tcW w:w="0" w:type="pct"/><w:vAlign w:val="top"/><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top"/><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top"/><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Cash paid for amounts included in the measurement of lease liabilities: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Operating cash flows for operating leases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6,554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5,059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Operating cash flows for finance leases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Financing cash flows for finance leases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528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tbl><w:tblGrid><w:gridCol w:w="15050" w:type="dxa"/><w:gridCol w:w="21450" w:type="dxa"/><w:gridCol w:w="50" w:type="dxa"/><w:gridCol w:w="28849999999999900" w:type="dxa"/><w:gridCol w:w="50" w:type="dxa"/><w:gridCol w:w="21450" w:type="dxa"/><w:gridCol w:w="50" w:type="dxa"/><w:gridCol w:w="13250" w:type="dxa"/><w:gridCol w:w="50" w:type="dxa"/></w:tblGrid><w:tblPr><w:tblW w:w="0" w:type="pct"/><w:tblLayout w:type="autofit"/></w:tblPr><w:tr><w:trPr/><w:tc><w:tcPr><w:tcW w:w="15050" w:type="pct"/><w:noWrap/></w:tcPr><w:p><w:pPr/></w:p></w:tc><w:tc><w:tcPr><w:tcW w:w="21450" w:type="pct"/><w:noWrap/></w:tcPr><w:p><w:pPr/></w:p></w:tc><w:tc><w:tcPr><w:tcW w:w="50" w:type="pct"/><w:noWrap/></w:tcPr><w:p><w:pPr/></w:p></w:tc><w:tc><w:tcPr><w:tcW w:w="28849999999999900" w:type="pct"/><w:noWrap/></w:tcPr><w:p><w:pPr/></w:p></w:tc><w:tc><w:tcPr><w:tcW w:w="50" w:type="pct"/><w:noWrap/></w:tcPr><w:p><w:pPr/></w:p></w:tc><w:tc><w:tcPr><w:tcW w:w="21450" w:type="pct"/><w:noWrap/></w:tcPr><w:p><w:pPr/></w:p></w:tc><w:tc><w:tcPr><w:tcW w:w="50" w:type="pct"/><w:noWrap/></w:tcPr><w:p><w:pPr/></w:p></w:tc><w:tc><w:tcPr><w:tcW w:w="1325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 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 2023</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Weighted-average remaining lease term</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Finance leases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2.08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Operating leases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6.27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6.49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June 30, 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 2023</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Weighted-average discount rate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Finance leases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7.91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7.91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Operating leases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4.75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4.71</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As of </w:t></w:r><w:r><w:rPr><w:rFonts w:ascii="Times New Roman" w:hAnsi="Times New Roman" w:eastAsia="Times New Roman" w:cs="Times New Roman"/><w:color w:val="000000"/><w:sz w:val="20"/><w:szCs w:val="20"/></w:rPr><w:t xml:space="preserve">June 30, 2024, maturities of lease liabilities were as follows:</w:t></w:r></w:p><w:p><w:pPr><w:jc w:val="start"/><w:spacing w:before="0" w:after="0"/></w:pPr><w:r><w:rPr><w:rFonts w:ascii="Times New Roman" w:hAnsi="Times New Roman" w:eastAsia="Times New Roman" w:cs="Times New Roman"/><w:sz w:val="24"/><w:szCs w:val="24"/></w:rPr><w:t xml:space="preserve"> </w:t></w:r></w:p><w:tbl><w:tblGrid><w:gridCol w:w="22350" w:type="dxa"/><w:gridCol w:w="2300" w:type="dxa"/><w:gridCol w:w="50" w:type="dxa"/><w:gridCol w:w="40850" w:type="dxa"/><w:gridCol w:w="50" w:type="dxa"/><w:gridCol w:w="2300" w:type="dxa"/><w:gridCol w:w="50" w:type="dxa"/><w:gridCol w:w="40850" w:type="dxa"/><w:gridCol w:w="50" w:type="dxa"/></w:tblGrid><w:tblPr><w:tblW w:w="0" w:type="pct"/><w:tblLayout w:type="autofit"/></w:tblPr><w:tr><w:trPr/><w:tc><w:tcPr><w:tcW w:w="22350" w:type="pct"/><w:noWrap/></w:tcPr><w:p><w:pPr/></w:p></w:tc><w:tc><w:tcPr><w:tcW w:w="2300" w:type="pct"/><w:noWrap/></w:tcPr><w:p><w:pPr/></w:p></w:tc><w:tc><w:tcPr><w:tcW w:w="50" w:type="pct"/><w:noWrap/></w:tcPr><w:p><w:pPr/></w:p></w:tc><w:tc><w:tcPr><w:tcW w:w="40850" w:type="pct"/><w:noWrap/></w:tcPr><w:p><w:pPr/></w:p></w:tc><w:tc><w:tcPr><w:tcW w:w="50" w:type="pct"/><w:noWrap/></w:tcPr><w:p><w:pPr/></w:p></w:tc><w:tc><w:tcPr><w:tcW w:w="2300" w:type="pct"/><w:noWrap/></w:tcPr><w:p><w:pPr/></w:p></w:tc><w:tc><w:tcPr><w:tcW w:w="50" w:type="pct"/><w:noWrap/></w:tcPr><w:p><w:pPr/></w:p></w:tc><w:tc><w:tcPr><w:tcW w:w="4085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Operating leases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Finance leases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2024 (remaining six months)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8,848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639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2025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9,013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1,278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2026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7,791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737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2027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8,119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2028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3,580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Thereafter</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15,108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lease payments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52,459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2,654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Less: interest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6,986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215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lease liabilities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45,473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2,439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14. Fair Value Measurements</w:t></w:r></w:p><w:p><w:pPr><w:jc w:val="start"/><w:ind w:left="0" w:right="0" w:firstLine="0" w:hanging="0"/><w:spacing w:before="120" w:after="120"/></w:pPr><w:r><w:rPr><w:rFonts w:ascii="Times New Roman" w:hAnsi="Times New Roman" w:eastAsia="Times New Roman" w:cs="Times New Roman"/><w:color w:val="000000"/><w:sz w:val="20"/><w:szCs w:val="20"/></w:rPr><w:t xml:space="preserve">As of June 30, 2024, the Company had $</w:t></w:r><w:r><w:rPr><w:rFonts w:ascii="Times New Roman" w:hAnsi="Times New Roman" w:eastAsia="Times New Roman" w:cs="Times New Roman"/><w:color w:val="000000"/><w:sz w:val="20"/><w:szCs w:val="20"/></w:rPr><w:t xml:space="preserve">13,600</w:t></w:r><w:r><w:rPr><w:rFonts w:ascii="Times New Roman" w:hAnsi="Times New Roman" w:eastAsia="Times New Roman" w:cs="Times New Roman"/><w:color w:val="000000"/><w:sz w:val="20"/><w:szCs w:val="20"/></w:rPr><w:t xml:space="preserve"> of assets recorded at fair value on a nonrecurring basis, comprised of a purchased building and unfinished construction work, recorded at fair value for impairment purposes. The Company determined the fair value of the building by estimating rental income, net of expenses to maintain the building over an anticipated lease term, as well as costs estimated to complete construction prior to commencement of the lease; these cash flows were then discounted over an anticipated lease term. </w:t></w:r><w:r><w:rPr><w:rFonts w:ascii="Times New Roman" w:hAnsi="Times New Roman" w:eastAsia="Times New Roman" w:cs="Times New Roman"/><w:color w:val="000000"/><w:sz w:val="20"/><w:szCs w:val="20"/></w:rPr><w:t xml:space="preserve">The significant unobservable quantitative inputs to the fair value of the building as follows:</w:t></w:r></w:p><w:tbl><w:tblGrid><w:gridCol w:w="2850" w:type="dxa"/><w:gridCol w:w="26450" w:type="dxa"/><w:gridCol w:w="50" w:type="dxa"/><w:gridCol w:w="450" w:type="dxa"/><w:gridCol w:w="50" w:type="dxa"/></w:tblGrid><w:tblPr><w:tblW w:w="0" w:type="pct"/><w:tblLayout w:type="autofit"/></w:tblPr><w:tr><w:trPr/><w:tc><w:tcPr><w:tcW w:w="2850" w:type="pct"/><w:noWrap/></w:tcPr><w:p><w:pPr/></w:p></w:tc><w:tc><w:tcPr><w:tcW w:w="26450" w:type="pct"/><w:noWrap/></w:tcPr><w:p><w:pPr/></w:p></w:tc><w:tc><w:tcPr><w:tcW w:w="50" w:type="pct"/><w:noWrap/></w:tcPr><w:p><w:pPr/></w:p></w:tc><w:tc><w:tcPr><w:tcW w:w="4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Unobservable input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Range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Discount rate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Terminal capitalization rate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Operating expense ratio</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end"/><w:spacing w:before="0" w:after="0"/></w:pPr><w:r><w:rPr><w:rFonts w:ascii="Times New Roman" w:hAnsi="Times New Roman" w:eastAsia="Times New Roman" w:cs="Times New Roman"/><w:color w:val="000000"/><w:sz w:val="20"/><w:szCs w:val="20"/><w:shd w:val="clear" w:fill="cff0fc"/></w:rPr><w:t xml:space="preserve">24.3</w:t></w:r><w:r><w:rPr><w:rFonts w:ascii="Times New Roman" w:hAnsi="Times New Roman" w:eastAsia="Times New Roman" w:cs="Times New Roman"/><w:color w:val="000000"/><w:sz w:val="20"/><w:szCs w:val="20"/><w:shd w:val="clear" w:fill="cff0fc"/></w:rPr><w:t xml:space="preserve">% - </w:t></w:r><w:r><w:rPr><w:rFonts w:ascii="Times New Roman" w:hAnsi="Times New Roman" w:eastAsia="Times New Roman" w:cs="Times New Roman"/><w:color w:val="000000"/><w:sz w:val="20"/><w:szCs w:val="20"/><w:shd w:val="clear" w:fill="cff0fc"/></w:rPr><w:t xml:space="preserve">32.9</w:t></w: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120" w:after="0"/></w:pPr><w:r><w:rPr><w:rFonts w:ascii="Times New Roman" w:hAnsi="Times New Roman" w:eastAsia="Times New Roman" w:cs="Times New Roman"/><w:color w:val="000000"/><w:sz w:val="20"/><w:szCs w:val="20"/></w:rPr><w:t xml:space="preserve">There were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assets recorded at fair value on a nonrecurring basis at December 31, 2023.</w:t></w:r></w:p><w:p><w:pPr><w:jc w:val="start"/><w:spacing w:before="360" w:after="0"/></w:pPr><w:r><w:rPr><w:rFonts w:ascii="Times New Roman" w:hAnsi="Times New Roman" w:eastAsia="Times New Roman" w:cs="Times New Roman"/><w:color w:val="000000"/><w:sz w:val="20"/><w:szCs w:val="20"/><w:b w:val="1"/><w:bCs w:val="1"/></w:rPr><w:t xml:space="preserve">15. Commitments and Contingencies</w:t></w:r></w:p><w:p><w:pPr><w:jc w:val="start"/><w:spacing w:before="120" w:after="0"/></w:pPr><w:r><w:rPr><w:rFonts w:ascii="Times New Roman" w:hAnsi="Times New Roman" w:eastAsia="Times New Roman" w:cs="Times New Roman"/><w:color w:val="000000"/><w:sz w:val="20"/><w:szCs w:val="20"/><w:b w:val="1"/><w:bCs w:val="1"/><w:i w:val="1"/><w:iCs w:val="1"/></w:rPr><w:t xml:space="preserve">License and Manufacturing Agreement</w:t></w:r></w:p><w:p><w:pPr><w:jc w:val="start"/><w:ind w:left="0" w:right="0" w:firstLine="0" w:hanging="0"/><w:spacing w:before="120" w:after="0"/></w:pPr><w:r><w:rPr><w:rFonts w:ascii="Times New Roman" w:hAnsi="Times New Roman" w:eastAsia="Times New Roman" w:cs="Times New Roman"/><w:color w:val="000000"/><w:sz w:val="20"/><w:szCs w:val="20"/></w:rPr><w:t xml:space="preserve">In November 2023, the Company entered into a trademark license and manufacturing agreement with Vivex Biologics, Inc. (“Vivex”) to sell its CYGNUS Dual (“Dual”) and CYGNUS Matrix (“Matrix") products, with the option to license the VIA Matrix (“VIA”) products.</w:t></w:r></w:p><w:p><w:pPr><w:jc w:val="start"/><w:ind w:left="0" w:right="0" w:firstLine="0" w:hanging="0"/><w:spacing w:before="120" w:after="0"/></w:pPr><w:r><w:rPr><w:rFonts w:ascii="Times New Roman" w:hAnsi="Times New Roman" w:eastAsia="Times New Roman" w:cs="Times New Roman"/><w:color w:val="000000"/><w:sz w:val="20"/><w:szCs w:val="20"/></w:rPr><w:t xml:space="preserve">The Company paid an upfront licensing fee to Vivex to sell Dual and Matrix, and also agreed to pay a fixed milestone payment for Dual in the event that its average sales price (“ASP”) is published by certain government agencies for a specified period of time. In addition, the Company is required to pay a low double digit royalty and a high single-digit royalty on the Net Sales of Dual and Matrix, respectively, during the royalty term, as defined in the agreement with Vivex. The royalty term is commensurate with the initial term of the contract and will continue for each subsequent renewal period. The initial term of the agreement expires on </w:t></w:r><w:r><w:rPr><w:rFonts w:ascii="Times New Roman" w:hAnsi="Times New Roman" w:eastAsia="Times New Roman" w:cs="Times New Roman"/><w:color w:val="000000"/><w:sz w:val="20"/><w:szCs w:val="20"/></w:rPr><w:t xml:space="preserve">December 31, 2026</w:t></w:r><w:r><w:rPr><w:rFonts w:ascii="Times New Roman" w:hAnsi="Times New Roman" w:eastAsia="Times New Roman" w:cs="Times New Roman"/><w:color w:val="000000"/><w:sz w:val="20"/><w:szCs w:val="20"/></w:rPr><w:t xml:space="preserve"> and can be renewed for up to </w:t></w:r><w:r><w:rPr><w:rFonts w:ascii="Times New Roman" w:hAnsi="Times New Roman" w:eastAsia="Times New Roman" w:cs="Times New Roman"/><w:color w:val="000000"/><w:sz w:val="20"/><w:szCs w:val="20"/></w:rPr><w:t xml:space="preserve">five</w:t></w:r><w:r><w:rPr><w:rFonts w:ascii="Times New Roman" w:hAnsi="Times New Roman" w:eastAsia="Times New Roman" w:cs="Times New Roman"/><w:color w:val="000000"/><w:sz w:val="20"/><w:szCs w:val="20"/></w:rPr><w:t xml:space="preserve"> additional </w:t></w:r><w:r><w:rPr><w:rFonts w:ascii="Times New Roman" w:hAnsi="Times New Roman" w:eastAsia="Times New Roman" w:cs="Times New Roman"/><w:color w:val="000000"/><w:sz w:val="20"/><w:szCs w:val="20"/></w:rPr><w:t xml:space="preserve">one-year</w:t></w:r><w:r><w:rPr><w:rFonts w:ascii="Times New Roman" w:hAnsi="Times New Roman" w:eastAsia="Times New Roman" w:cs="Times New Roman"/><w:color w:val="000000"/><w:sz w:val="20"/><w:szCs w:val="20"/></w:rPr><w:t xml:space="preserve"> terms.</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in prepaid and other current assets and other assets for the payment of the upfront licensing fee, which is recognized as expense on a straight-line basis over the estimated life of the arrangement, which the Company determined to be </w:t></w:r><w:r><w:rPr><w:rFonts w:ascii="Times New Roman" w:hAnsi="Times New Roman" w:eastAsia="Times New Roman" w:cs="Times New Roman"/><w:color w:val="000000"/><w:sz w:val="20"/><w:szCs w:val="20"/></w:rPr><w:t xml:space="preserve">three years</w:t></w:r><w:r><w:rPr><w:rFonts w:ascii="Times New Roman" w:hAnsi="Times New Roman" w:eastAsia="Times New Roman" w:cs="Times New Roman"/><w:color w:val="000000"/><w:sz w:val="20"/><w:szCs w:val="20"/></w:rPr><w:t xml:space="preserve">, commensurate with the initial term of the contract. In December 2023, the Company recorded $</w:t></w:r><w:r><w:rPr><w:rFonts w:ascii="Times New Roman" w:hAnsi="Times New Roman" w:eastAsia="Times New Roman" w:cs="Times New Roman"/><w:color w:val="000000"/><w:sz w:val="20"/><w:szCs w:val="20"/></w:rPr><w:t xml:space="preserve">2,500</w:t></w:r><w:r><w:rPr><w:rFonts w:ascii="Times New Roman" w:hAnsi="Times New Roman" w:eastAsia="Times New Roman" w:cs="Times New Roman"/><w:color w:val="000000"/><w:sz w:val="20"/><w:szCs w:val="20"/></w:rPr><w:t xml:space="preserve"> in prepaid and other current assets, other assets, and accrued expenses and other current liabilities for the milestone payment, as the Company determined it is probable of owing such payment to Vivex.  In March 2024, the Company exercised the option to license VIA, and as such, remitted the option payment of $</w:t></w:r><w:r><w:rPr><w:rFonts w:ascii="Times New Roman" w:hAnsi="Times New Roman" w:eastAsia="Times New Roman" w:cs="Times New Roman"/><w:color w:val="000000"/><w:sz w:val="20"/><w:szCs w:val="20"/></w:rPr><w:t xml:space="preserve">2,500</w:t></w:r><w:r><w:rPr><w:rFonts w:ascii="Times New Roman" w:hAnsi="Times New Roman" w:eastAsia="Times New Roman" w:cs="Times New Roman"/><w:color w:val="000000"/><w:sz w:val="20"/><w:szCs w:val="20"/></w:rPr><w:t xml:space="preserve"> in April 2024.</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Royalties</w:t></w:r></w:p><w:p><w:pPr><w:jc w:val="start"/><w:ind w:left="0" w:right="0" w:firstLine="0" w:hanging="0"/><w:spacing w:before="120" w:after="0"/></w:pPr><w:r><w:rPr><w:rFonts w:ascii="Times New Roman" w:hAnsi="Times New Roman" w:eastAsia="Times New Roman" w:cs="Times New Roman"/><w:color w:val="000000"/><w:sz w:val="20"/><w:szCs w:val="20"/></w:rPr><w:t xml:space="preserve">The Company entered into a license agreement with a university for certain patent rights related to the development, use, and production of one of its advanced wound care products. Under this agreement, the Company incurred a royalty based on a percentage of net product sales, for the use of these patents until the patents expired, which was in November 2006.</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total royalty expense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7,417</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12,364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1,592</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3,032</w:t></w:r><w:r><w:rPr><w:rFonts w:ascii="Times New Roman" w:hAnsi="Times New Roman" w:eastAsia="Times New Roman" w:cs="Times New Roman"/><w:color w:val="000000"/><w:sz w:val="20"/><w:szCs w:val="20"/></w:rPr><w:t xml:space="preserve"> during the three and six months ended June 30, 2024 and 2023, respectively, within selling, general and administrative expenses on the condensed consolidated statements of operations and comprehensive income (loss).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Legal Matters</w:t></w:r></w:p><w:p><w:pPr><w:jc w:val="start"/><w:ind w:left="0" w:right="0" w:firstLine="0" w:hanging="0"/><w:spacing w:before="120" w:after="0"/></w:pPr><w:r><w:rPr><w:rFonts w:ascii="Times New Roman" w:hAnsi="Times New Roman" w:eastAsia="Times New Roman" w:cs="Times New Roman"/><w:color w:val="000000"/><w:sz w:val="20"/><w:szCs w:val="2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16. Related Party Transactions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Lease obligations to affiliates, including accrued but unpaid lease obligations, purchase of an asset under a finance lease with an affiliate, and renewal of leases with affiliates are further described in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w:t></w:r></w:p><w:p><w:pPr><w:jc w:val="center"/><w:spacing w:before="240" w:after="0"/></w:pPr><w:r><w:rPr><w:rFonts w:ascii="Times New Roman" w:hAnsi="Times New Roman" w:eastAsia="Times New Roman" w:cs="Times New Roman"/><w:color w:val="000000"/><w:sz w:val="20"/><w:szCs w:val="20"/></w:rPr><w:t xml:space="preserve">18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17. Taxes</w:t></w:r></w:p><w:p><w:pPr><w:jc w:val="start"/><w:ind w:left="0" w:right="0" w:firstLine="0" w:hanging="0"/><w:spacing w:before="120" w:after="0"/></w:pPr><w:r><w:rPr><w:rFonts w:ascii="Times New Roman" w:hAnsi="Times New Roman" w:eastAsia="Times New Roman" w:cs="Times New Roman"/><w:color w:val="000000"/><w:sz w:val="20"/><w:szCs w:val="20"/></w:rPr><w:t xml:space="preserve">The Company is principally subject to taxation in the United States. The Company has a history of net operating losses both federally and in various states and began utilizing those losses to offset current taxable income in 2020. As net operating loss carryovers become limited or are fully utilized, the Company will accrue current federal and state income tax expense. The Company’s wholly owned Swiss subsidiary, Organogenesis GmbH, is subject to taxation in Switzerland and has a transfer pricing arrangement in place with Organogenesis Inc., its U.S. parent.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income tax rate for the six months ended June 30, 2024</w:t></w:r><w:r><w:rPr><w:rFonts w:ascii="Times New Roman" w:hAnsi="Times New Roman" w:eastAsia="Times New Roman" w:cs="Times New Roman"/><w:color w:val="000000"/><w:sz w:val="20"/><w:szCs w:val="20"/></w:rPr><w:t xml:space="preserve"> was (</w:t></w:r><w:r><w:rPr><w:rFonts w:ascii="Times New Roman" w:hAnsi="Times New Roman" w:eastAsia="Times New Roman" w:cs="Times New Roman"/><w:color w:val="000000"/><w:sz w:val="20"/><w:szCs w:val="20"/></w:rPr><w:t xml:space="preserve">1.4</w:t></w:r><w:r><w:rPr><w:rFonts w:ascii="Times New Roman" w:hAnsi="Times New Roman" w:eastAsia="Times New Roman" w:cs="Times New Roman"/><w:color w:val="000000"/><w:sz w:val="20"/><w:szCs w:val="20"/></w:rPr><w:t xml:space="preserve">%), a decrease from the U.S. statutory rate of </w:t></w:r><w:r><w:rPr><w:rFonts w:ascii="Times New Roman" w:hAnsi="Times New Roman" w:eastAsia="Times New Roman" w:cs="Times New Roman"/><w:color w:val="000000"/><w:sz w:val="20"/><w:szCs w:val="20"/></w:rPr><w:t xml:space="preserve">21</w:t></w:r><w:r><w:rPr><w:rFonts w:ascii="Times New Roman" w:hAnsi="Times New Roman" w:eastAsia="Times New Roman" w:cs="Times New Roman"/><w:color w:val="000000"/><w:sz w:val="20"/><w:szCs w:val="20"/></w:rPr><w:t xml:space="preserve">% primarily due to the tax adjustments related to executive compensation, and other nondeductible expenses. </w:t></w:r><w:r><w:rPr><w:rFonts w:ascii="Times New Roman" w:hAnsi="Times New Roman" w:eastAsia="Times New Roman" w:cs="Times New Roman"/><w:color w:val="000000"/><w:sz w:val="20"/><w:szCs w:val="20"/></w:rPr><w:t xml:space="preserve">The income tax expense for the three and six months ended June 30, 2024 and 2023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2,503</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260</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3,863</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2,205</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b w:val="1"/><w:bCs w:val="1"/></w:rPr><w:t xml:space="preserve">Item 2. Management’s Discussion and Analysis of </w:t></w:r><w:r><w:rPr><w:rFonts w:ascii="Times New Roman" w:hAnsi="Times New Roman" w:eastAsia="Times New Roman" w:cs="Times New Roman"/><w:color w:val="000000"/><w:sz w:val="20"/><w:szCs w:val="20"/><w:b w:val="1"/><w:bCs w:val="1"/></w:rPr><w:t xml:space="preserve">Financial Condition and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2023, filed with the SEC, on February 29, 2024. Please refer to our cautionary note regarding forward-looking statements on page 3 of this Form 10-Q, which is incorporated herein by this reference.</w:t></w:r><w:r><w:rPr><w:rFonts w:ascii="Times New Roman" w:hAnsi="Times New Roman" w:eastAsia="Times New Roman" w:cs="Times New Roman"/><w:color w:val="000000"/><w:sz w:val="20"/><w:szCs w:val="20"/><w:i w:val="1"/><w:iCs w:val="1"/></w:rPr><w:t xml:space="preserve"> </w:t></w:r></w:p><w:p><w:pPr><w:jc w:val="start"/><w:spacing w:before="240" w:after="0"/></w:pPr><w:r><w:rPr><w:rFonts w:ascii="Times New Roman" w:hAnsi="Times New Roman" w:eastAsia="Times New Roman" w:cs="Times New Roman"/><w:color w:val="000000"/><w:sz w:val="20"/><w:szCs w:val="20"/><w:b w:val="1"/><w:bCs w:val="1"/></w:rPr><w:t xml:space="preserve">Overview</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are a leading regenerative medicine company focused on the development, manufacture, and commercialization of solutions for the Advanced Wound Care and Surgical &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and cardiovascular and peripheral vascular disease. We offer our differentiated products and in-house customer support to a wide range of health care customers including hospitals, wound care centers, government facilities, ambulatory surgery centers (ASCs) and physician offices. Our mission is to provide integrated healing solutions that substantially improve medical outcomes and the lives of patients while lowering the overall cost of care.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approval, or 510(k) clearance from the FDA. Given the extensive time and cost required to conduct clinical trials and receive FDA approvals, we believe that our data and regulatory approvals provide us with a strong competitive advantage. Our product development expertise and multiple technology platforms provide a robust product pipeline, which we believe will drive future growth.</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(VLUs) and diabetic foot ulcers (DFUs); Dermagraft for the treatment of DFUs (manufacturing and distribution currently suspended pending transition to a new manufacturing facility or engagement of a third-party manufacturer); PuraPly AM and PuraPly XT as antimicrobial barriers and native, cross-linked extracellular matrix (ECM) scaffolds for a broad variety of wound types; and Affinity, Novachor, NuShield, and CYGNUS placental allografts to address a variety of wound sizes and types as a protective barrier and ECM scaffold. We have a highly trained and specialized direct wound care sales force paired with comprehensive customer support services.</w:t></w:r></w:p><w:p><w:pPr><w:jc w:val="start"/><w:ind w:left="0" w:right="0" w:firstLine="0" w:hanging="0"/><w:spacing w:before="120" w:after="0"/></w:pPr><w:r><w:rPr><w:rFonts w:ascii="Times New Roman" w:hAnsi="Times New Roman" w:eastAsia="Times New Roman" w:cs="Times New Roman"/><w:color w:val="000000"/><w:sz w:val="20"/><w:szCs w:val="20"/></w:rPr><w:t xml:space="preserve">In the Surgical & Sports Medicine market, we are leveraging our broad regenerative medicine capabilities to address chronic and acute surgical wounds and tendon and ligament injuries. Our Sports Medicine products include NuShield for surgical applications in targeted soft tissue repairs; and Affinity, Novachor, PuraPly AM, PuraPly MZ, and PuraPly SX for management of open wounds in the surgical setting. We currently sell these products through independent agencies and our direct sales force.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May 2024, we announced that our Phase 3 randomized control trial (RCT) evaluating the safety and efficacy of ReNu, a cryopreserved amniotic suspension allograft (ASA) for the management of symptoms associated with knee osteoarthritis (OA), achieved its primary endpoint upon the analysis of positive top line data. Specifically, as previously announced, the first Phase 3 RCT achieved the pre-defined requirements - statistically significant reduction in knee pain (p=0.0177) and statistically significant maintenance of function (p<0.0001), at six month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completed a Type-B meeting with the FDA on July 25. The FDA typically requires two well-controlled Phase 3 clinical trials to support regulatory approval. The FDA indicated that a second Phase 3 study would be needed to support BLA submission. We recently completed enrollment in the second Phase 3 multi-center RCT evaluating the safety and efficacy of ReNu with 594 patients, outperforming enrollment expectations. Based on the completion of enrollment of the second study, we expect to submit the biologics license application (BLA) by the end of 2025.</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Dermagraft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previously disclosed, we have not manufactured or sold Dermagraft since 2022. During this time, we have successfully leveraged our highly differentiated broad cellular and tissue-based products (CTPs), including Apligraf and Affinity, as substitutes for Dermagraft. Accordingly, the suspension of Dermagraft sales has not had a material impact on our net revenue. We currently plan to transition our Dermagraft manufacturing to a new facility, which we expect will result in substantial long-term cost savings. If we do not realize these expected substantial long-term cost savings or if recommencement of manufacture and sale of Dermagraft is significantly delayed, our net revenue and results of operations could be adversely impacted.</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Local Coverage Determinations</w:t></w:r></w:p><w:p><w:pPr><w:jc w:val="start"/><w:ind w:left="0" w:right="0" w:firstLine="0" w:hanging="0"/><w:spacing w:before="120" w:after="0"/></w:pPr><w:r><w:rPr><w:rFonts w:ascii="Times New Roman" w:hAnsi="Times New Roman" w:eastAsia="Times New Roman" w:cs="Times New Roman"/><w:color w:val="000000"/><w:sz w:val="20"/><w:szCs w:val="20"/></w:rPr><w:t xml:space="preserve">In August 2023, three Medicare Administrative Contractors (MACs) issued local coverage determinations (LCDs) eliminating coverage for DFUs and VLUs for over 130 products, including five of our commercially marketed products. The LCDs were scheduled to take effect on September 17, 2023, and subsequently delayed to October 1, 2023. Given the potential adverse impact these LCDs could have on patients and on our business, we worked with our advisors to convince the MACs to withdraw the LCDs and incurred legal expenses and compensation expenses related to retention for impacted sales employees. On September 28, 2023, the three MACs withdrew the LCDs. Notwithstanding the ultimate withdrawal of the LCDs, we believe that some of our customers elected to purchase covered products from our competitors, reducing our revenue for the third and fourth quarters of the year ended December 31, 2023.</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MACs published proposed LCDs for skin substitute grafts/CTPs for the treatment of DFUs and VLUs in the Medicare population, that propose to cover three of our products, and to non-cover five of our commercially marketed product lines. We have engaged with the MACs, reiterated our support of the evidence-based approach reflected in the draft LCDs and requested that the final LCD include certain of our products for which we have provided clinical evidence, demonstrating their efficacy for the treatment of DFUs and VLUs, as covered products. There is no guarantee that the MACs will agree to cover these products in the final LCDs.</w:t></w:r></w:p><w:p><w:pPr><w:jc w:val="start"/><w:spacing w:before="240" w:after="0"/></w:pPr><w:r><w:rPr><w:rFonts w:ascii="Times New Roman" w:hAnsi="Times New Roman" w:eastAsia="Times New Roman" w:cs="Times New Roman"/><w:color w:val="000000"/><w:sz w:val="20"/><w:szCs w:val="20"/><w:b w:val="1"/><w:bCs w:val="1"/><w:i w:val="1"/><w:iCs w:val="1"/></w:rPr><w:t xml:space="preserve">License And Manufacturing Agreement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November 2023, we entered into a trademark license and manufacturing agreement with Vivex Biologics, Inc. (Vivex) to sell its CYGNUS Dual (Dual) and CYGNUS Matrix (Matrix) products, with the option to license its VIA Matrix (VIA) products. We paid an upfront licensing fee to Vivex to sell Dual and Matrix, and also agreed to pay a fixed milestone payment for Dual in the event that its average selling price (ASP) is published by certain government agencies for a specified period of time, for which we previously accrued because we determined that payment would be probable in December 2024. In March 2024, we exercised the option to license VIA.</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addition, the Company is required to pay a low double-digit royalty and a high single-digit royalty on the Net Sales of Dual and Matrix, respectively, during the royalty term, as defined in the agreement with Vivex. The royalty term is commensurate with the initial term of the contract and will continue for each subsequent renewal period. The initial term of the agreement expires on December 31, 2026 and can be renewed for up to five additional one-year terms.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paid $5.0 million in upfront licensing fees and accrued $2.5 million for the milestone payment in the fourth quarter of 2023, and paid an additional $2.5 million licensing fee for the VIA option in April 2024.</w:t></w:r></w:p><w:p><w:pPr><w:jc w:val="start"/><w:spacing w:before="240" w:after="0"/></w:pPr><w:r><w:rPr><w:rFonts w:ascii="Times New Roman" w:hAnsi="Times New Roman" w:eastAsia="Times New Roman" w:cs="Times New Roman"/><w:color w:val="000000"/><w:sz w:val="20"/><w:szCs w:val="20"/><w:b w:val="1"/><w:bCs w:val="1"/></w:rPr><w:t xml:space="preserve">Components of Our Condensed Consolidated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assessing the performance of our business, we consider a variety of performance and financial measures. We believe the items discussed below provide insight into the factors that affect these key measures.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June 30, 2024, we had approximately 256 direct sales representatives and approximately 158 independent agencies.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of a contract. We record revenue net of a reserve for returns, discounts and Group Purchasing Organization (GPO) rebates, which represent a direct reduction to the revenue we recognize.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Cost of goods sold and gross profit</w:t></w:r></w:p><w:p><w:pPr><w:jc w:val="start"/><w:ind w:left="0" w:right="0" w:firstLine="0" w:hanging="0"/><w:spacing w:before="120" w:after="0"/></w:pPr><w:r><w:rPr><w:rFonts w:ascii="Times New Roman" w:hAnsi="Times New Roman" w:eastAsia="Times New Roman" w:cs="Times New Roman"/><w:color w:val="000000"/><w:sz w:val="20"/><w:szCs w:val="2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w:t></w:r></w:p><w:p><w:pPr><w:jc w:val="center"/><w:spacing w:before="240" w:after="0"/></w:pPr><w:r><w:rPr><w:rFonts w:ascii="Times New Roman" w:hAnsi="Times New Roman" w:eastAsia="Times New Roman" w:cs="Times New Roman"/><w:color w:val="000000"/><w:sz w:val="20"/><w:szCs w:val="20"/></w:rPr><w:t xml:space="preserve">21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Gross profit is calculated as net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costs associated with our administrative facilities, and impairment and write-downs of long-lived assets. We generally expect our selling, general and administrative expenses to continue to increase due to increased investments in market development and the geographic expansion of our sales forces as we drive for continued revenue growth.</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Research and development expenses include expenses for clinical trials, personnel costs for our research and development personnel, expenses related to improvements in our manufacturing processes, enhancements to our currently available products, and additional investments in our product and platform development pipeline. We expense research and development costs as incurred. We generally expect that research and development expenses will increase as we continue to conduct clinical trials on new and existing products, move products through the regulatory pathway (e.g., seek biologics license application approval), add personnel to support product enhancements as well as to bring new products to market, and enhance our manufacturing process and procedures.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Impairment and write down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Impairment of property and construction relates to the potential sale of one of our buildings located on our Canton, Massachusetts campus and consists of the building and associated unfinished construction costs. Write down of capitalized internal-use software costs consists of the development costs for certain modules of our ERP system that were determined to have no future value. We recorded both of these charges during the second quarter of 2024.</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Other expense,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expense, net consists primarily of interest expense, which is interest on our outstanding indebtedness, including amortization of debt discount and debt issuance costs, net of interest income recognized.</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Income taxes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We maintain the position that our net U.S. deferred tax assets did not require a valuation allowance as of June 30, 2024 and December 31, 2023.</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We account for uncertainty in income taxes recognized in the condensed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condensed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start"/><w:ind w:left="0" w:right="0" w:firstLine="0" w:hanging="0"/><w:spacing w:before="2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rPr><w:t xml:space="preserve">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sets forth, for the periods indicated, our results of operations: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4800" w:type="dxa"/><w:gridCol w:w="900" w:type="dxa"/><w:gridCol w:w="50" w:type="dxa"/><w:gridCol w:w="2900" w:type="dxa"/><w:gridCol w:w="50" w:type="dxa"/><w:gridCol w:w="900" w:type="dxa"/><w:gridCol w:w="50" w:type="dxa"/><w:gridCol w:w="2900" w:type="dxa"/><w:gridCol w:w="50" w:type="dxa"/><w:gridCol w:w="900" w:type="dxa"/><w:gridCol w:w="50" w:type="dxa"/><w:gridCol w:w="2900" w:type="dxa"/><w:gridCol w:w="50" w:type="dxa"/><w:gridCol w:w="900" w:type="dxa"/><w:gridCol w:w="50" w:type="dxa"/><w:gridCol w:w="2900" w:type="dxa"/><w:gridCol w:w="50" w:type="dxa"/></w:tblGrid><w:tblPr><w:tblW w:w="0" w:type="pct"/><w:tblLayout w:type="autofit"/></w:tblPr><w:tr><w:trPr/><w:tc><w:tcPr><w:tcW w:w="480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revenue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130,234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117,316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240,210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224,958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29,198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26,316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57,894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52,923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Gross profit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101,036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91,000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182,316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172,035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Operating expenses: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76,540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70,317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148,862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144,151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15,587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10,938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28,397</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22,140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Impairment of property and construction</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Write down of capitalized internal-use software costs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operating expenses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114,928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81,255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200,060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166,291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Income (loss) from operations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(13,892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9,745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(17,744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5,744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Other expense,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expense,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(620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(594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(1,134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(1,243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Other income (expense),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(28</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other expense,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(648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(566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(1,139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(1,192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income (loss) before income taxes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(14,540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9,179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(18,883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4,552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Income tax expense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(2,503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(3,863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(260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(2,205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income (loss) and comprehensive income (loss)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5,316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(19,143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2,347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240" w:after="0"/></w:pPr><w:r><w:rPr><w:rFonts w:ascii="Times New Roman" w:hAnsi="Times New Roman" w:eastAsia="Times New Roman" w:cs="Times New Roman"/><w:color w:val="000000"/><w:sz w:val="20"/><w:szCs w:val="20"/><w:b w:val="1"/><w:bCs w:val="1"/></w:rPr><w:t xml:space="preserve">EBITDA and Adjusted EBITDA</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management uses financial measures that are not in accordance with generally accepted accounting principles in the United States (non-GAAP), in addition to financial measures in accordance with generally accepted accounting principles in the United States (GAAP) to evaluate our operating results. These non-GAAP financial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p><w:p><w:pPr><w:jc w:val="start"/><w:ind w:left="0" w:right="0" w:firstLine="0" w:hanging="0"/><w:spacing w:before="120" w:after="0"/></w:pPr><w:r><w:rPr><w:rFonts w:ascii="Times New Roman" w:hAnsi="Times New Roman" w:eastAsia="Times New Roman" w:cs="Times New Roman"/><w:color w:val="000000"/><w:sz w:val="20"/><w:szCs w:val="20"/></w:rPr><w:t xml:space="preserve">The following is a reconciliation of GAAP net income (loss) to non-GAAP EBITDA and non-GAAP Adjusted EBITDA for each of the periods presented:</w:t></w:r></w:p><w:p><w:pPr><w:jc w:val="start"/><w:ind w:left="0" w:right="0" w:firstLine="0" w:hanging="0"/><w:spacing w:before="120" w:after="0"/></w:pPr><w:r><w:rPr><w:rFonts w:ascii="Times New Roman" w:hAnsi="Times New Roman" w:eastAsia="Times New Roman" w:cs="Times New Roman"/><w:sz w:val="20"/><w:szCs w:val="20"/></w:rPr><w:t xml:space="preserve"> </w:t></w:r></w:p><w:tbl><w:tblGrid><w:gridCol w:w="47450" w:type="dxa"/><w:gridCol w:w="1300" w:type="dxa"/><w:gridCol w:w="50" w:type="dxa"/><w:gridCol w:w="32050" w:type="dxa"/><w:gridCol w:w="50" w:type="dxa"/><w:gridCol w:w="20750" w:type="dxa"/><w:gridCol w:w="50" w:type="dxa"/><w:gridCol w:w="13900" w:type="dxa"/><w:gridCol w:w="50" w:type="dxa"/><w:gridCol w:w="20750" w:type="dxa"/><w:gridCol w:w="50" w:type="dxa"/><w:gridCol w:w="13900" w:type="dxa"/><w:gridCol w:w="50" w:type="dxa"/><w:gridCol w:w="20750" w:type="dxa"/><w:gridCol w:w="50" w:type="dxa"/><w:gridCol w:w="29249999999999950" w:type="dxa"/><w:gridCol w:w="50" w:type="dxa"/></w:tblGrid><w:tblPr><w:tblW w:w="0" w:type="pct"/><w:tblLayout w:type="autofit"/></w:tblPr><w:tr><w:trPr/><w:tc><w:tcPr><w:tcW w:w="47450" w:type="pct"/><w:noWrap/></w:tcPr><w:p><w:pPr/></w:p></w:tc><w:tc><w:tcPr><w:tcW w:w="1300" w:type="pct"/><w:noWrap/></w:tcPr><w:p><w:pPr/></w:p></w:tc><w:tc><w:tcPr><w:tcW w:w="50" w:type="pct"/><w:noWrap/></w:tcPr><w:p><w:pPr/></w:p></w:tc><w:tc><w:tcPr><w:tcW w:w="32050" w:type="pct"/><w:noWrap/></w:tcPr><w:p><w:pPr/></w:p></w:tc><w:tc><w:tcPr><w:tcW w:w="50" w:type="pct"/><w:noWrap/></w:tcPr><w:p><w:pPr/></w:p></w:tc><w:tc><w:tcPr><w:tcW w:w="20750" w:type="pct"/><w:noWrap/></w:tcPr><w:p><w:pPr/></w:p></w:tc><w:tc><w:tcPr><w:tcW w:w="50" w:type="pct"/><w:noWrap/></w:tcPr><w:p><w:pPr/></w:p></w:tc><w:tc><w:tcPr><w:tcW w:w="13900" w:type="pct"/><w:noWrap/></w:tcPr><w:p><w:pPr/></w:p></w:tc><w:tc><w:tcPr><w:tcW w:w="50" w:type="pct"/><w:noWrap/></w:tcPr><w:p><w:pPr/></w:p></w:tc><w:tc><w:tcPr><w:tcW w:w="20750" w:type="pct"/><w:noWrap/></w:tcPr><w:p><w:pPr/></w:p></w:tc><w:tc><w:tcPr><w:tcW w:w="50" w:type="pct"/><w:noWrap/></w:tcPr><w:p><w:pPr/></w:p></w:tc><w:tc><w:tcPr><w:tcW w:w="13900" w:type="pct"/><w:noWrap/></w:tcPr><w:p><w:pPr/></w:p></w:tc><w:tc><w:tcPr><w:tcW w:w="50" w:type="pct"/><w:noWrap/></w:tcPr><w:p><w:pPr/></w:p></w:tc><w:tc><w:tcPr><w:tcW w:w="20750" w:type="pct"/><w:noWrap/></w:tcPr><w:p><w:pPr/></w:p></w:tc><w:tc><w:tcPr><w:tcW w:w="50" w:type="pct"/><w:noWrap/></w:tcPr><w:p><w:pPr/></w:p></w:tc><w:tc><w:tcPr><w:tcW w:w="2924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income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(17,043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5,316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(19,143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2,347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expense, net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620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594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1,134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1,243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Income tax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2,503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3,863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260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2,205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Depreciation and amortization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3,366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2,228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6,438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4,922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Amortization of intangible assets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834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1,229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1,735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2,459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EBITDA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(9,720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13,230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(9,576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13,176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2,568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2,299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4,975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4,213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Restructuring charge (1)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(126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1,782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Impairment of building and improvements (2)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Write-down of capitalized software costs (3)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Adjusted EBITDA</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15,649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15,403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18,200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19,171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color w:val="000000"/><w:sz w:val="12"/><w:szCs w:val="12"/></w:rPr><w:t xml:space="preserve"> </w:t></w:r></w:p><w:p><w:pPr><w:jc w:val="center"/><w:spacing w:before="240" w:after="0"/></w:pPr><w:r><w:rPr><w:rFonts w:ascii="Times New Roman" w:hAnsi="Times New Roman" w:eastAsia="Times New Roman" w:cs="Times New Roman"/><w:color w:val="000000"/><w:sz w:val="20"/><w:szCs w:val="20"/></w:rPr><w:t xml:space="preserve">23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pPr><w:r><w:rPr><w:rFonts w:ascii="Times New Roman" w:hAnsi="Times New Roman" w:eastAsia="Times New Roman" w:cs="Times New Roman"/><w:color w:val="000000"/><w:sz w:val="20"/><w:szCs w:val="20"/></w:rPr><w:t xml:space="preserve">(1)</w:t></w:r></w:p><w:p><w:pPr><w:jc w:val="start"/></w:pPr><w:r><w:rPr><w:rFonts w:ascii="Times New Roman" w:hAnsi="Times New Roman" w:eastAsia="Times New Roman" w:cs="Times New Roman"/><w:color w:val="000000"/><w:sz w:val="20"/><w:szCs w:val="20"/></w:rPr><w:t xml:space="preserve">Amounts reflect employee severance, retention and benefits as well as other exit costs associated with the Company’s restructuring activities. See Note 9, </w:t></w:r></w:p><w:p><w:pPr><w:jc w:val="start"/></w:pPr><w:r><w:rPr><w:rFonts w:ascii="Times New Roman" w:hAnsi="Times New Roman" w:eastAsia="Times New Roman" w:cs="Times New Roman"/><w:color w:val="000000"/><w:sz w:val="20"/><w:szCs w:val="20"/><w:i w:val="1"/><w:iCs w:val="1"/></w:rPr><w:t xml:space="preserve">Restructuring</w:t></w:r></w:p><w:p><w:pPr><w:jc w:val="start"/></w:pPr><w:r><w:rPr><w:rFonts w:ascii="Times New Roman" w:hAnsi="Times New Roman" w:eastAsia="Times New Roman" w:cs="Times New Roman"/><w:color w:val="000000"/><w:sz w:val="20"/><w:szCs w:val="20"/></w:rPr><w:t xml:space="preserve">, to our condensed consolidated financial statements included in this Quarterly Report on Form 10-Q.</w:t></w:r></w:p><w:p><w:pPr><w:jc w:val="start"/></w:pPr><w:r><w:rPr><w:rFonts w:ascii="Times New Roman" w:hAnsi="Times New Roman" w:eastAsia="Times New Roman" w:cs="Times New Roman"/><w:color w:val="000000"/><w:sz w:val="20"/><w:szCs w:val="20"/></w:rPr><w:t xml:space="preserve">(2)</w:t></w:r></w:p><w:p><w:pPr><w:jc w:val="start"/></w:pPr><w:r><w:rPr><w:rFonts w:ascii="Times New Roman" w:hAnsi="Times New Roman" w:eastAsia="Times New Roman" w:cs="Times New Roman"/><w:color w:val="000000"/><w:sz w:val="20"/><w:szCs w:val="20"/></w:rPr><w:t xml:space="preserve">Amount reflects the impairment of a purchased building and associated unfinished construction work. See Note 6, </w:t></w:r></w:p><w:p><w:pPr><w:jc w:val="start"/></w:pPr><w:r><w:rPr><w:rFonts w:ascii="Times New Roman" w:hAnsi="Times New Roman" w:eastAsia="Times New Roman" w:cs="Times New Roman"/><w:color w:val="000000"/><w:sz w:val="20"/><w:szCs w:val="20"/><w:i w:val="1"/><w:iCs w:val="1"/></w:rPr><w:t xml:space="preserve">Property and Equipment, Net</w:t></w:r></w:p><w:p><w:pPr><w:jc w:val="start"/></w:pPr><w:r><w:rPr><w:rFonts w:ascii="Times New Roman" w:hAnsi="Times New Roman" w:eastAsia="Times New Roman" w:cs="Times New Roman"/><w:color w:val="000000"/><w:sz w:val="20"/><w:szCs w:val="20"/></w:rPr><w:t xml:space="preserve">, to our condensed consolidated financial statements included in this Quarterly Report on Form 10-Q.</w:t></w:r></w:p><w:p><w:pPr><w:jc w:val="start"/></w:pPr><w:r><w:rPr><w:rFonts w:ascii="Times New Roman" w:hAnsi="Times New Roman" w:eastAsia="Times New Roman" w:cs="Times New Roman"/><w:color w:val="000000"/><w:sz w:val="20"/><w:szCs w:val="20"/></w:rPr><w:t xml:space="preserve">(3)</w:t></w:r></w:p><w:p><w:pPr><w:jc w:val="start"/></w:pPr><w:r><w:rPr><w:rFonts w:ascii="Times New Roman" w:hAnsi="Times New Roman" w:eastAsia="Times New Roman" w:cs="Times New Roman"/><w:color w:val="000000"/><w:sz w:val="20"/><w:szCs w:val="20"/></w:rPr><w:t xml:space="preserve">Amount reflects the write-down of costs previously capitalized as construction in progress in the development of internal-use software, that the Company determined have no future value. See Note 6, </w:t></w:r></w:p><w:p><w:pPr><w:jc w:val="start"/></w:pPr><w:r><w:rPr><w:rFonts w:ascii="Times New Roman" w:hAnsi="Times New Roman" w:eastAsia="Times New Roman" w:cs="Times New Roman"/><w:color w:val="000000"/><w:sz w:val="20"/><w:szCs w:val="20"/><w:i w:val="1"/><w:iCs w:val="1"/></w:rPr><w:t xml:space="preserve">Property and Equipment, Net</w:t></w:r></w:p><w:p><w:pPr><w:jc w:val="start"/></w:pPr><w:r><w:rPr><w:rFonts w:ascii="Times New Roman" w:hAnsi="Times New Roman" w:eastAsia="Times New Roman" w:cs="Times New Roman"/><w:color w:val="000000"/><w:sz w:val="20"/><w:szCs w:val="20"/></w:rPr><w:t xml:space="preserve">, to our condensed consolidated financial statements included in this Quarterly Report on Form 10-Q.</w:t></w:r></w:p><w:p><w:pPr><w:jc w:val="start"/><w:spacing w:before="240" w:after="0"/></w:pPr><w:r><w:rPr><w:rFonts w:ascii="Times New Roman" w:hAnsi="Times New Roman" w:eastAsia="Times New Roman" w:cs="Times New Roman"/><w:color w:val="000000"/><w:sz w:val="20"/><w:szCs w:val="20"/><w:b w:val="1"/><w:bCs w:val="1"/></w:rPr><w:t xml:space="preserve">Comparison of Three and Six Months Ended June 30, 2024 and 2023</w:t></w:r></w:p><w:p><w:pPr><w:jc w:val="start"/><w:spacing w:before="12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36800" w:type="dxa"/><w:gridCol w:w="4950" w:type="dxa"/><w:gridCol w:w="50" w:type="dxa"/><w:gridCol w:w="19250" w:type="dxa"/><w:gridCol w:w="50" w:type="dxa"/><w:gridCol w:w="4950" w:type="dxa"/><w:gridCol w:w="50" w:type="dxa"/><w:gridCol w:w="31350" w:type="dxa"/><w:gridCol w:w="50" w:type="dxa"/><w:gridCol w:w="10450" w:type="dxa"/><w:gridCol w:w="50" w:type="dxa"/><w:gridCol w:w="36800" w:type="dxa"/><w:gridCol w:w="50" w:type="dxa"/><w:gridCol w:w="10450" w:type="dxa"/><w:gridCol w:w="50" w:type="dxa"/><w:gridCol w:w="45100000000000050" w:type="dxa"/><w:gridCol w:w="50" w:type="dxa"/></w:tblGrid><w:tblPr><w:tblW w:w="0" w:type="pct"/><w:tblLayout w:type="autofit"/></w:tblPr><w:tr><w:trPr/><w:tc><w:tcPr><w:tcW w:w="36800" w:type="pct"/><w:noWrap/></w:tcPr><w:p><w:pPr/></w:p></w:tc><w:tc><w:tcPr><w:tcW w:w="4950" w:type="pct"/><w:noWrap/></w:tcPr><w:p><w:pPr/></w:p></w:tc><w:tc><w:tcPr><w:tcW w:w="50" w:type="pct"/><w:noWrap/></w:tcPr><w:p><w:pPr/></w:p></w:tc><w:tc><w:tcPr><w:tcW w:w="19250" w:type="pct"/><w:noWrap/></w:tcPr><w:p><w:pPr/></w:p></w:tc><w:tc><w:tcPr><w:tcW w:w="50" w:type="pct"/><w:noWrap/></w:tcPr><w:p><w:pPr/></w:p></w:tc><w:tc><w:tcPr><w:tcW w:w="4950" w:type="pct"/><w:noWrap/></w:tcPr><w:p><w:pPr/></w:p></w:tc><w:tc><w:tcPr><w:tcW w:w="50" w:type="pct"/><w:noWrap/></w:tcPr><w:p><w:pPr/></w:p></w:tc><w:tc><w:tcPr><w:tcW w:w="31350" w:type="pct"/><w:noWrap/></w:tcPr><w:p><w:pPr/></w:p></w:tc><w:tc><w:tcPr><w:tcW w:w="50" w:type="pct"/><w:noWrap/></w:tcPr><w:p><w:pPr/></w:p></w:tc><w:tc><w:tcPr><w:tcW w:w="10450" w:type="pct"/><w:noWrap/></w:tcPr><w:p><w:pPr/></w:p></w:tc><w:tc><w:tcPr><w:tcW w:w="50" w:type="pct"/><w:noWrap/></w:tcPr><w:p><w:pPr/></w:p></w:tc><w:tc><w:tcPr><w:tcW w:w="36800" w:type="pct"/><w:noWrap/></w:tcPr><w:p><w:pPr/></w:p></w:tc><w:tc><w:tcPr><w:tcW w:w="50" w:type="pct"/><w:noWrap/></w:tcPr><w:p><w:pPr/></w:p></w:tc><w:tc><w:tcPr><w:tcW w:w="10450" w:type="pct"/><w:noWrap/></w:tcPr><w:p><w:pPr/></w:p></w:tc><w:tc><w:tcPr><w:tcW w:w="50" w:type="pct"/><w:noWrap/></w:tcPr><w:p><w:pPr/></w:p></w:tc><w:tc><w:tcPr><w:tcW w:w="4510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123,237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110,075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13,162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6,997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7,241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(244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130,234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117,316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12,918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37900" w:type="dxa"/><w:gridCol w:w="4950" w:type="dxa"/><w:gridCol w:w="50" w:type="dxa"/><w:gridCol w:w="19250" w:type="dxa"/><w:gridCol w:w="50" w:type="dxa"/><w:gridCol w:w="4950" w:type="dxa"/><w:gridCol w:w="50" w:type="dxa"/><w:gridCol w:w="8250000000000050" w:type="dxa"/><w:gridCol w:w="50" w:type="dxa"/><w:gridCol w:w="4950" w:type="dxa"/><w:gridCol w:w="50" w:type="dxa"/><w:gridCol w:w="4400000000000050" w:type="dxa"/><w:gridCol w:w="50" w:type="dxa"/><w:gridCol w:w="4950" w:type="dxa"/><w:gridCol w:w="50" w:type="dxa"/><w:gridCol w:w="10450" w:type="dxa"/><w:gridCol w:w="50" w:type="dxa"/></w:tblGrid><w:tblPr><w:tblW w:w="0" w:type="pct"/><w:tblLayout w:type="autofit"/></w:tblPr><w:tr><w:trPr/><w:tc><w:tcPr><w:tcW w:w="37900" w:type="pct"/><w:noWrap/></w:tcPr><w:p><w:pPr/></w:p></w:tc><w:tc><w:tcPr><w:tcW w:w="4950" w:type="pct"/><w:noWrap/></w:tcPr><w:p><w:pPr/></w:p></w:tc><w:tc><w:tcPr><w:tcW w:w="50" w:type="pct"/><w:noWrap/></w:tcPr><w:p><w:pPr/></w:p></w:tc><w:tc><w:tcPr><w:tcW w:w="19250" w:type="pct"/><w:noWrap/></w:tcPr><w:p><w:pPr/></w:p></w:tc><w:tc><w:tcPr><w:tcW w:w="50" w:type="pct"/><w:noWrap/></w:tcPr><w:p><w:pPr/></w:p></w:tc><w:tc><w:tcPr><w:tcW w:w="4950" w:type="pct"/><w:noWrap/></w:tcPr><w:p><w:pPr/></w:p></w:tc><w:tc><w:tcPr><w:tcW w:w="50" w:type="pct"/><w:noWrap/></w:tcPr><w:p><w:pPr/></w:p></w:tc><w:tc><w:tcPr><w:tcW w:w="8250000000000050" w:type="pct"/><w:noWrap/></w:tcPr><w:p><w:pPr/></w:p></w:tc><w:tc><w:tcPr><w:tcW w:w="50" w:type="pct"/><w:noWrap/></w:tcPr><w:p><w:pPr/></w:p></w:tc><w:tc><w:tcPr><w:tcW w:w="4950" w:type="pct"/><w:noWrap/></w:tcPr><w:p><w:pPr/></w:p></w:tc><w:tc><w:tcPr><w:tcW w:w="50" w:type="pct"/><w:noWrap/></w:tcPr><w:p><w:pPr/></w:p></w:tc><w:tc><w:tcPr><w:tcW w:w="4400000000000050" w:type="pct"/><w:noWrap/></w:tcPr><w:p><w:pPr/></w:p></w:tc><w:tc><w:tcPr><w:tcW w:w="50" w:type="pct"/><w:noWrap/></w:tcPr><w:p><w:pPr/></w:p></w:tc><w:tc><w:tcPr><w:tcW w:w="4950" w:type="pct"/><w:noWrap/></w:tcPr><w:p><w:pPr/></w:p></w:tc><w:tc><w:tcPr><w:tcW w:w="50" w:type="pct"/><w:noWrap/></w:tcPr><w:p><w:pPr/></w:p></w:tc><w:tc><w:tcPr><w:tcW w:w="104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227,101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210,992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16,109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13,109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13,966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(857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240,210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224,958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15,252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Net revenue from our Advanced Wound Care products increased by $13.2 million, or 12%, to $123.2 million in the three months ended June 30, 2024, from $110.1 million in the three months ended June 30, 2023. Net revenue from our Advanced Wound Care products increased by $16.1 million, or 8%, to $227.1 million in the six months ended June 30, 2024, from $211.0 million in the six months ended June 30, 2023. The increase in Advanced Wound Care net revenue was primarily attributable to an increase in product sales of certain of our products to our existing and new customers.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Net revenue from our Surgical & Sports Medicine products decreased by $0.2 million, or 3% to $7.0 million in the three months ended June 30, 2024 from $7.2 million in the three months ended June 30, 2023. Net revenue from our Surgical & Sports Medicine products decreased by $0.9 million, or 6% to $13.1 million in the six months ended June 30, 2024 from $14.0 million in the six months ended June 30, 2023. The decrease in Surgical & Sports Medicine net revenue was primarily due to a decrease in certain customer buying patterns.</w:t></w:r></w:p><w:p><w:pPr><w:jc w:val="start"/><w:spacing w:before="240" w:after="0"/></w:pPr><w:r><w:rPr><w:rFonts w:ascii="Times New Roman" w:hAnsi="Times New Roman" w:eastAsia="Times New Roman" w:cs="Times New Roman"/><w:color w:val="000000"/><w:sz w:val="20"/><w:szCs w:val="20"/><w:b w:val="1"/><w:bCs w:val="1"/><w:i w:val="1"/><w:iCs w:val="1"/></w:rPr><w:t xml:space="preserve">Cost of goods sold and gross profit</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2050" w:type="dxa"/><w:gridCol w:w="1300" w:type="dxa"/><w:gridCol w:w="50" w:type="dxa"/><w:gridCol w:w="32100000000000050" w:type="dxa"/><w:gridCol w:w="50" w:type="dxa"/><w:gridCol w:w="1300" w:type="dxa"/><w:gridCol w:w="50" w:type="dxa"/><w:gridCol w:w="32100000000000050" w:type="dxa"/><w:gridCol w:w="50" w:type="dxa"/><w:gridCol w:w="1300" w:type="dxa"/><w:gridCol w:w="50" w:type="dxa"/><w:gridCol w:w="21100" w:type="dxa"/><w:gridCol w:w="50" w:type="dxa"/><w:gridCol w:w="50" w:type="dxa"/><w:gridCol w:w="50" w:type="dxa"/><w:gridCol w:w="5100" w:type="dxa"/><w:gridCol w:w="50" w:type="dxa"/></w:tblGrid><w:tblPr><w:tblW w:w="0" w:type="pct"/><w:tblLayout w:type="autofit"/></w:tblPr><w:tr><w:trPr/><w:tc><w:tcPr><w:tcW w:w="20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21100" w:type="pct"/><w:noWrap/></w:tcPr><w:p><w:pPr/></w:p></w:tc><w:tc><w:tcPr><w:tcW w:w="50" w:type="pct"/><w:noWrap/></w:tcPr><w:p><w:pPr/></w:p></w:tc><w:tc><w:tcPr><w:tcW w:w="50" w:type="pct"/><w:noWrap/></w:tcPr><w:p><w:pPr/></w:p></w:tc><w:tc><w:tcPr><w:tcW w:w="50" w:type="pct"/><w:noWrap/></w:tcPr><w:p><w:pPr/></w:p></w:tc><w:tc><w:tcPr><w:tcW w:w="5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29,198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26,316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2,882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101,036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91,000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10,036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2050" w:type="dxa"/><w:gridCol w:w="1300" w:type="dxa"/><w:gridCol w:w="50" w:type="dxa"/><w:gridCol w:w="32100000000000050" w:type="dxa"/><w:gridCol w:w="50" w:type="dxa"/><w:gridCol w:w="1300" w:type="dxa"/><w:gridCol w:w="50" w:type="dxa"/><w:gridCol w:w="32100000000000050" w:type="dxa"/><w:gridCol w:w="50" w:type="dxa"/><w:gridCol w:w="1300" w:type="dxa"/><w:gridCol w:w="50" w:type="dxa"/><w:gridCol w:w="21100" w:type="dxa"/><w:gridCol w:w="50" w:type="dxa"/><w:gridCol w:w="50" w:type="dxa"/><w:gridCol w:w="50" w:type="dxa"/><w:gridCol w:w="5100" w:type="dxa"/><w:gridCol w:w="50" w:type="dxa"/></w:tblGrid><w:tblPr><w:tblW w:w="0" w:type="pct"/><w:tblLayout w:type="autofit"/></w:tblPr><w:tr><w:trPr/><w:tc><w:tcPr><w:tcW w:w="20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21100" w:type="pct"/><w:noWrap/></w:tcPr><w:p><w:pPr/></w:p></w:tc><w:tc><w:tcPr><w:tcW w:w="50" w:type="pct"/><w:noWrap/></w:tcPr><w:p><w:pPr/></w:p></w:tc><w:tc><w:tcPr><w:tcW w:w="50" w:type="pct"/><w:noWrap/></w:tcPr><w:p><w:pPr/></w:p></w:tc><w:tc><w:tcPr><w:tcW w:w="50" w:type="pct"/><w:noWrap/></w:tcPr><w:p><w:pPr/></w:p></w:tc><w:tc><w:tcPr><w:tcW w:w="5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57,894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52,923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4,971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182,316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172,035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10,281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Cost of goods sold increased by $2.9 million, or 11%, to $29.2 million in the three months ended June 30, 2024, from $26.3 million in the three months ended June 30, 2023. Cost of goods sold increased by $5.0 million, or 9%, to $57.9 million in the six months ended June 30, 2024, from $52.9 million in the six months ended June 30, 2023. The increase in cost of goods sold was primarily due to an increase in sales volume as well as a shift in product mix.</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Gross profit increased by $10.0 million to $101.0 million in the three months ended June 30, 2024 from $91.0 million in the three months ended June 30, 2023. Gross profit increased by $10.3 million to $182.3 million in the six months ended June 30, 2024 from $172.0 million in the six months ended June 30, 2023. The increase in gross profit was primarily due to a shift in product mix.</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150" w:type="dxa"/><w:gridCol w:w="800" w:type="dxa"/><w:gridCol w:w="50" w:type="dxa"/><w:gridCol w:w="39100" w:type="dxa"/><w:gridCol w:w="50" w:type="dxa"/><w:gridCol w:w="800" w:type="dxa"/><w:gridCol w:w="50" w:type="dxa"/><w:gridCol w:w="39100" w:type="dxa"/><w:gridCol w:w="50" w:type="dxa"/><w:gridCol w:w="800" w:type="dxa"/><w:gridCol w:w="50" w:type="dxa"/><w:gridCol w:w="24100000000000050" w:type="dxa"/><w:gridCol w:w="50" w:type="dxa"/><w:gridCol w:w="50" w:type="dxa"/><w:gridCol w:w="50" w:type="dxa"/><w:gridCol w:w="12099999999999950" w:type="dxa"/><w:gridCol w:w="50" w:type="dxa"/></w:tblGrid><w:tblPr><w:tblW w:w="0" w:type="pct"/><w:tblLayout w:type="autofit"/></w:tblPr><w:tr><w:trPr/><w:tc><w:tcPr><w:tcW w:w="11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24100000000000050" w:type="pct"/><w:noWrap/></w:tcPr><w:p><w:pPr/></w:p></w:tc><w:tc><w:tcPr><w:tcW w:w="50" w:type="pct"/><w:noWrap/></w:tcPr><w:p><w:pPr/></w:p></w:tc><w:tc><w:tcPr><w:tcW w:w="50" w:type="pct"/><w:noWrap/></w:tcPr><w:p><w:pPr/></w:p></w:tc><w:tc><w:tcPr><w:tcW w:w="50" w:type="pct"/><w:noWrap/></w:tcPr><w:p><w:pPr/></w:p></w:tc><w:tc><w:tcPr><w:tcW w:w="12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76,540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70,317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6,223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150" w:type="dxa"/><w:gridCol w:w="800" w:type="dxa"/><w:gridCol w:w="50" w:type="dxa"/><w:gridCol w:w="39100" w:type="dxa"/><w:gridCol w:w="50" w:type="dxa"/><w:gridCol w:w="800" w:type="dxa"/><w:gridCol w:w="50" w:type="dxa"/><w:gridCol w:w="39100" w:type="dxa"/><w:gridCol w:w="50" w:type="dxa"/><w:gridCol w:w="800" w:type="dxa"/><w:gridCol w:w="50" w:type="dxa"/><w:gridCol w:w="24100000000000050" w:type="dxa"/><w:gridCol w:w="50" w:type="dxa"/><w:gridCol w:w="50" w:type="dxa"/><w:gridCol w:w="50" w:type="dxa"/><w:gridCol w:w="12099999999999950" w:type="dxa"/><w:gridCol w:w="50" w:type="dxa"/></w:tblGrid><w:tblPr><w:tblW w:w="0" w:type="pct"/><w:tblLayout w:type="autofit"/></w:tblPr><w:tr><w:trPr/><w:tc><w:tcPr><w:tcW w:w="11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24100000000000050" w:type="pct"/><w:noWrap/></w:tcPr><w:p><w:pPr/></w:p></w:tc><w:tc><w:tcPr><w:tcW w:w="50" w:type="pct"/><w:noWrap/></w:tcPr><w:p><w:pPr/></w:p></w:tc><w:tc><w:tcPr><w:tcW w:w="50" w:type="pct"/><w:noWrap/></w:tcPr><w:p><w:pPr/></w:p></w:tc><w:tc><w:tcPr><w:tcW w:w="50" w:type="pct"/><w:noWrap/></w:tcPr><w:p><w:pPr/></w:p></w:tc><w:tc><w:tcPr><w:tcW w:w="12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148,862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144,151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4,711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Selling, general and administrative expenses increased by $6.2 million, or 9%, to $76.5 million in the three months ended June 30, 2024 from $70.3 million in the three months ended June 30, 2023. The increase in selling, general and administrative expenses was primarily due to the increase in commissions expense of $2.1 million, and an increase in royalty expense of $5.8 million, partially offset by a decrease of $1.1 million in salaries and other headcount-related expenses, and $0.6 million in marketing expenses.</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Selling, general and administrative expenses increased by $4.7 million, or 3%, to $148.9 million in the six months ended June 30, 2024 from $144.2 million in the six months ended June 30, 2023. The increase in selling, general and administrative expenses was primarily due to an increase in our allowance for expected credit losses of $1.9 million, and an increase in royalty expense of $9.2 million, partially offset by a decrease of $6.4 million in salaries, restructuring, and other headcount-related expenses.</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300" w:type="dxa"/><w:gridCol w:w="5550" w:type="dxa"/><w:gridCol w:w="50" w:type="dxa"/><w:gridCol w:w="33300" w:type="dxa"/><w:gridCol w:w="50" w:type="dxa"/><w:gridCol w:w="5550" w:type="dxa"/><w:gridCol w:w="50" w:type="dxa"/><w:gridCol w:w="16650" w:type="dxa"/><w:gridCol w:w="50" w:type="dxa"/><w:gridCol w:w="5550" w:type="dxa"/><w:gridCol w:w="50" w:type="dxa"/><w:gridCol w:w="22199999999999950" w:type="dxa"/><w:gridCol w:w="50" w:type="dxa"/><w:gridCol w:w="5550" w:type="dxa"/><w:gridCol w:w="50" w:type="dxa"/><w:gridCol w:w="25550" w:type="dxa"/><w:gridCol w:w="50" w:type="dxa"/></w:tblGrid><w:tblPr><w:tblW w:w="0" w:type="pct"/><w:tblLayout w:type="autofit"/></w:tblPr><w:tr><w:trPr/><w:tc><w:tcPr><w:tcW w:w="300" w:type="pct"/><w:noWrap/></w:tcPr><w:p><w:pPr/></w:p></w:tc><w:tc><w:tcPr><w:tcW w:w="5550" w:type="pct"/><w:noWrap/></w:tcPr><w:p><w:pPr/></w:p></w:tc><w:tc><w:tcPr><w:tcW w:w="50" w:type="pct"/><w:noWrap/></w:tcPr><w:p><w:pPr/></w:p></w:tc><w:tc><w:tcPr><w:tcW w:w="33300" w:type="pct"/><w:noWrap/></w:tcPr><w:p><w:pPr/></w:p></w:tc><w:tc><w:tcPr><w:tcW w:w="50" w:type="pct"/><w:noWrap/></w:tcPr><w:p><w:pPr/></w:p></w:tc><w:tc><w:tcPr><w:tcW w:w="5550" w:type="pct"/><w:noWrap/></w:tcPr><w:p><w:pPr/></w:p></w:tc><w:tc><w:tcPr><w:tcW w:w="50" w:type="pct"/><w:noWrap/></w:tcPr><w:p><w:pPr/></w:p></w:tc><w:tc><w:tcPr><w:tcW w:w="16650" w:type="pct"/><w:noWrap/></w:tcPr><w:p><w:pPr/></w:p></w:tc><w:tc><w:tcPr><w:tcW w:w="50" w:type="pct"/><w:noWrap/></w:tcPr><w:p><w:pPr/></w:p></w:tc><w:tc><w:tcPr><w:tcW w:w="5550" w:type="pct"/><w:noWrap/></w:tcPr><w:p><w:pPr/></w:p></w:tc><w:tc><w:tcPr><w:tcW w:w="50" w:type="pct"/><w:noWrap/></w:tcPr><w:p><w:pPr/></w:p></w:tc><w:tc><w:tcPr><w:tcW w:w="22199999999999950" w:type="pct"/><w:noWrap/></w:tcPr><w:p><w:pPr/></w:p></w:tc><w:tc><w:tcPr><w:tcW w:w="50" w:type="pct"/><w:noWrap/></w:tcPr><w:p><w:pPr/></w:p></w:tc><w:tc><w:tcPr><w:tcW w:w="5550" w:type="pct"/><w:noWrap/></w:tcPr><w:p><w:pPr/></w:p></w:tc><w:tc><w:tcPr><w:tcW w:w="50" w:type="pct"/><w:noWrap/></w:tcPr><w:p><w:pPr/></w:p></w:tc><w:tc><w:tcPr><w:tcW w:w="255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15,587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10,938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4,649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38900" w:type="dxa"/><w:gridCol w:w="5550" w:type="dxa"/><w:gridCol w:w="50" w:type="dxa"/><w:gridCol w:w="27750" w:type="dxa"/><w:gridCol w:w="50" w:type="dxa"/><w:gridCol w:w="5550" w:type="dxa"/><w:gridCol w:w="50" w:type="dxa"/><w:gridCol w:w="22199999999999950" w:type="dxa"/><w:gridCol w:w="50" w:type="dxa"/><w:gridCol w:w="5550" w:type="dxa"/><w:gridCol w:w="50" w:type="dxa"/><w:gridCol w:w="17750" w:type="dxa"/><w:gridCol w:w="50" w:type="dxa"/><w:gridCol w:w="5550" w:type="dxa"/><w:gridCol w:w="50" w:type="dxa"/><w:gridCol w:w="21099999999999950" w:type="dxa"/><w:gridCol w:w="50" w:type="dxa"/></w:tblGrid><w:tblPr><w:tblW w:w="0" w:type="pct"/><w:tblLayout w:type="autofit"/></w:tblPr><w:tr><w:trPr/><w:tc><w:tcPr><w:tcW w:w="38900" w:type="pct"/><w:noWrap/></w:tcPr><w:p><w:pPr/></w:p></w:tc><w:tc><w:tcPr><w:tcW w:w="5550" w:type="pct"/><w:noWrap/></w:tcPr><w:p><w:pPr/></w:p></w:tc><w:tc><w:tcPr><w:tcW w:w="50" w:type="pct"/><w:noWrap/></w:tcPr><w:p><w:pPr/></w:p></w:tc><w:tc><w:tcPr><w:tcW w:w="27750" w:type="pct"/><w:noWrap/></w:tcPr><w:p><w:pPr/></w:p></w:tc><w:tc><w:tcPr><w:tcW w:w="50" w:type="pct"/><w:noWrap/></w:tcPr><w:p><w:pPr/></w:p></w:tc><w:tc><w:tcPr><w:tcW w:w="5550" w:type="pct"/><w:noWrap/></w:tcPr><w:p><w:pPr/></w:p></w:tc><w:tc><w:tcPr><w:tcW w:w="50" w:type="pct"/><w:noWrap/></w:tcPr><w:p><w:pPr/></w:p></w:tc><w:tc><w:tcPr><w:tcW w:w="22199999999999950" w:type="pct"/><w:noWrap/></w:tcPr><w:p><w:pPr/></w:p></w:tc><w:tc><w:tcPr><w:tcW w:w="50" w:type="pct"/><w:noWrap/></w:tcPr><w:p><w:pPr/></w:p></w:tc><w:tc><w:tcPr><w:tcW w:w="5550" w:type="pct"/><w:noWrap/></w:tcPr><w:p><w:pPr/></w:p></w:tc><w:tc><w:tcPr><w:tcW w:w="50" w:type="pct"/><w:noWrap/></w:tcPr><w:p><w:pPr/></w:p></w:tc><w:tc><w:tcPr><w:tcW w:w="17750" w:type="pct"/><w:noWrap/></w:tcPr><w:p><w:pPr/></w:p></w:tc><w:tc><w:tcPr><w:tcW w:w="50" w:type="pct"/><w:noWrap/></w:tcPr><w:p><w:pPr/></w:p></w:tc><w:tc><w:tcPr><w:tcW w:w="5550" w:type="pct"/><w:noWrap/></w:tcPr><w:p><w:pPr/></w:p></w:tc><w:tc><w:tcPr><w:tcW w:w="50" w:type="pct"/><w:noWrap/></w:tcPr><w:p><w:pPr/></w:p></w:tc><w:tc><w:tcPr><w:tcW w:w="21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28,397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22,140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6,257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Research and development expenses increased by $4.6 million, or 43%, to $15.6 million in the three months ended June 30, 2024 from $10.9 million in the three months ended June 30, 2023. Research and development expenses increased by $6.3 million, or 28%,to $28.4 million in the six months ended June 30, 2024 from $22.1 million in the six months ended June 30, 2023. The increase in research and development expenses was primarily due to expenses associated with clinical research and trials, primarily related to ReNu, and support of Biologics License Application (BLA) efforts.</w:t></w:r></w:p><w:p><w:pPr><w:jc w:val="start"/><w:ind w:left="0" w:right="0" w:firstLine="0" w:hanging="0"/><w:spacing w:before="2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Impairment and Write Down Expenses</w:t></w:r></w:p><w:p><w:pPr><w:jc w:val="start"/><w:spacing w:before="240" w:after="0"/></w:pPr><w:r><w:rPr><w:rFonts w:ascii="Times New Roman" w:hAnsi="Times New Roman" w:eastAsia="Times New Roman" w:cs="Times New Roman"/><w:sz w:val="20"/><w:szCs w:val="20"/></w:rPr><w:t xml:space="preserve"> </w:t></w:r></w:p><w:tbl><w:tblGrid><w:gridCol w:w="10550" w:type="dxa"/><w:gridCol w:w="2650" w:type="dxa"/><w:gridCol w:w="50" w:type="dxa"/><w:gridCol w:w="34250" w:type="dxa"/><w:gridCol w:w="50" w:type="dxa"/><w:gridCol w:w="2650" w:type="dxa"/><w:gridCol w:w="50" w:type="dxa"/><w:gridCol w:w="34250" w:type="dxa"/><w:gridCol w:w="50" w:type="dxa"/><w:gridCol w:w="2650" w:type="dxa"/><w:gridCol w:w="50" w:type="dxa"/><w:gridCol w:w="44200" w:type="dxa"/><w:gridCol w:w="50" w:type="dxa"/><w:gridCol w:w="100" w:type="dxa"/><w:gridCol w:w="50" w:type="dxa"/><w:gridCol w:w="900" w:type="dxa"/><w:gridCol w:w="50" w:type="dxa"/></w:tblGrid><w:tblPr><w:tblW w:w="0" w:type="pct"/><w:tblLayout w:type="autofit"/></w:tblPr><w:tr><w:trPr/><w:tc><w:tcPr><w:tcW w:w="10550" w:type="pct"/><w:noWrap/></w:tcPr><w:p><w:pPr/></w:p></w:tc><w:tc><w:tcPr><w:tcW w:w="2650" w:type="pct"/><w:noWrap/></w:tcPr><w:p><w:pPr/></w:p></w:tc><w:tc><w:tcPr><w:tcW w:w="50" w:type="pct"/><w:noWrap/></w:tcPr><w:p><w:pPr/></w:p></w:tc><w:tc><w:tcPr><w:tcW w:w="34250" w:type="pct"/><w:noWrap/></w:tcPr><w:p><w:pPr/></w:p></w:tc><w:tc><w:tcPr><w:tcW w:w="50" w:type="pct"/><w:noWrap/></w:tcPr><w:p><w:pPr/></w:p></w:tc><w:tc><w:tcPr><w:tcW w:w="2650" w:type="pct"/><w:noWrap/></w:tcPr><w:p><w:pPr/></w:p></w:tc><w:tc><w:tcPr><w:tcW w:w="50" w:type="pct"/><w:noWrap/></w:tcPr><w:p><w:pPr/></w:p></w:tc><w:tc><w:tcPr><w:tcW w:w="34250" w:type="pct"/><w:noWrap/></w:tcPr><w:p><w:pPr/></w:p></w:tc><w:tc><w:tcPr><w:tcW w:w="50" w:type="pct"/><w:noWrap/></w:tcPr><w:p><w:pPr/></w:p></w:tc><w:tc><w:tcPr><w:tcW w:w="2650" w:type="pct"/><w:noWrap/></w:tcPr><w:p><w:pPr/></w:p></w:tc><w:tc><w:tcPr><w:tcW w:w="50" w:type="pct"/><w:noWrap/></w:tcPr><w:p><w:pPr/></w:p></w:tc><w:tc><w:tcPr><w:tcW w:w="44200" w:type="pct"/><w:noWrap/></w:tcPr><w:p><w:pPr/></w:p></w:tc><w:tc><w:tcPr><w:tcW w:w="50" w:type="pct"/><w:noWrap/></w:tcPr><w:p><w:pPr/></w:p></w:tc><w:tc><w:tcPr><w:tcW w:w="100" w:type="pct"/><w:noWrap/></w:tcPr><w:p><w:pPr/></w:p></w:tc><w:tc><w:tcPr><w:tcW w:w="50" w:type="pct"/><w:noWrap/></w:tcPr><w:p><w:pPr/></w:p></w:tc><w:tc><w:tcPr><w:tcW w:w="9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Impairment of property and construction</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Write down of capitalized internal-use software costs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impairment and write down expenses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22,801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22,801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During the three months ended June 30, 2024, we recorded a $4.0 million write down of costs related to internal-use software and an $18.8 million impairment of a purchased building and associated unfinished construction work. See Note 6, </w:t></w:r><w:r><w:rPr><w:rFonts w:ascii="Times New Roman" w:hAnsi="Times New Roman" w:eastAsia="Times New Roman" w:cs="Times New Roman"/><w:color w:val="000000"/><w:sz w:val="20"/><w:szCs w:val="20"/><w:i w:val="1"/><w:iCs w:val="1"/></w:rPr><w:t xml:space="preserve">Property and Equipment, Net</w:t></w:r><w:r><w:rPr><w:rFonts w:ascii="Times New Roman" w:hAnsi="Times New Roman" w:eastAsia="Times New Roman" w:cs="Times New Roman"/><w:color w:val="000000"/><w:sz w:val="20"/><w:szCs w:val="20"/></w:rPr><w:t xml:space="preserve">, to our condensed consolidated financial statements included in this Quarterly Report.</w:t></w:r></w:p><w:p><w:pPr><w:jc w:val="start"/><w:spacing w:before="240" w:after="0"/></w:pPr><w:r><w:rPr><w:rFonts w:ascii="Times New Roman" w:hAnsi="Times New Roman" w:eastAsia="Times New Roman" w:cs="Times New Roman"/><w:color w:val="000000"/><w:sz w:val="20"/><w:szCs w:val="20"/><w:b w:val="1"/><w:bCs w:val="1"/><w:i w:val="1"/><w:iCs w:val="1"/></w:rPr><w:t xml:space="preserve">Income Tax Expense</w:t></w:r></w:p><w:p><w:pPr><w:jc w:val="start"/><w:spacing w:before="0" w:after="0"/></w:pPr><w:r><w:rPr><w:rFonts w:ascii="Times New Roman" w:hAnsi="Times New Roman" w:eastAsia="Times New Roman" w:cs="Times New Roman"/><w:sz w:val="20"/><w:szCs w:val="20"/></w:rPr><w:t xml:space="preserve"> </w:t></w:r></w:p><w:tbl><w:tblGrid><w:gridCol w:w="11100" w:type="dxa"/><w:gridCol w:w="5550" w:type="dxa"/><w:gridCol w:w="50" w:type="dxa"/><w:gridCol w:w="14450" w:type="dxa"/><w:gridCol w:w="50" w:type="dxa"/><w:gridCol w:w="5550" w:type="dxa"/><w:gridCol w:w="50" w:type="dxa"/><w:gridCol w:w="25550000000000050" w:type="dxa"/><w:gridCol w:w="50" w:type="dxa"/><w:gridCol w:w="7800" w:type="dxa"/><w:gridCol w:w="50" w:type="dxa"/><w:gridCol w:w="8899999999999950" w:type="dxa"/><w:gridCol w:w="50" w:type="dxa"/><w:gridCol w:w="7800" w:type="dxa"/><w:gridCol w:w="50" w:type="dxa"/><w:gridCol w:w="13300" w:type="dxa"/><w:gridCol w:w="50" w:type="dxa"/></w:tblGrid><w:tblPr><w:tblW w:w="0" w:type="pct"/><w:tblLayout w:type="autofit"/></w:tblPr><w:tr><w:trPr/><w:tc><w:tcPr><w:tcW w:w="11100" w:type="pct"/><w:noWrap/></w:tcPr><w:p><w:pPr/></w:p></w:tc><w:tc><w:tcPr><w:tcW w:w="5550" w:type="pct"/><w:noWrap/></w:tcPr><w:p><w:pPr/></w:p></w:tc><w:tc><w:tcPr><w:tcW w:w="50" w:type="pct"/><w:noWrap/></w:tcPr><w:p><w:pPr/></w:p></w:tc><w:tc><w:tcPr><w:tcW w:w="14450" w:type="pct"/><w:noWrap/></w:tcPr><w:p><w:pPr/></w:p></w:tc><w:tc><w:tcPr><w:tcW w:w="50" w:type="pct"/><w:noWrap/></w:tcPr><w:p><w:pPr/></w:p></w:tc><w:tc><w:tcPr><w:tcW w:w="5550" w:type="pct"/><w:noWrap/></w:tcPr><w:p><w:pPr/></w:p></w:tc><w:tc><w:tcPr><w:tcW w:w="50" w:type="pct"/><w:noWrap/></w:tcPr><w:p><w:pPr/></w:p></w:tc><w:tc><w:tcPr><w:tcW w:w="25550000000000050" w:type="pct"/><w:noWrap/></w:tcPr><w:p><w:pPr/></w:p></w:tc><w:tc><w:tcPr><w:tcW w:w="50" w:type="pct"/><w:noWrap/></w:tcPr><w:p><w:pPr/></w:p></w:tc><w:tc><w:tcPr><w:tcW w:w="7800" w:type="pct"/><w:noWrap/></w:tcPr><w:p><w:pPr/></w:p></w:tc><w:tc><w:tcPr><w:tcW w:w="50" w:type="pct"/><w:noWrap/></w:tcPr><w:p><w:pPr/></w:p></w:tc><w:tc><w:tcPr><w:tcW w:w="8899999999999950" w:type="pct"/><w:noWrap/></w:tcPr><w:p><w:pPr/></w:p></w:tc><w:tc><w:tcPr><w:tcW w:w="50" w:type="pct"/><w:noWrap/></w:tcPr><w:p><w:pPr/></w:p></w:tc><w:tc><w:tcPr><w:tcW w:w="7800" w:type="pct"/><w:noWrap/></w:tcPr><w:p><w:pPr/></w:p></w:tc><w:tc><w:tcPr><w:tcW w:w="50" w:type="pct"/><w:noWrap/></w:tcPr><w:p><w:pPr/></w:p></w:tc><w:tc><w:tcPr><w:tcW w:w="13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(2,503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(3,863</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1,360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120" w:after="0"/></w:pPr><w:r><w:rPr><w:rFonts w:ascii="Times New Roman" w:hAnsi="Times New Roman" w:eastAsia="Times New Roman" w:cs="Times New Roman"/><w:sz w:val="20"/><w:szCs w:val="20"/></w:rPr><w:t xml:space="preserve"> </w:t></w:r></w:p><w:tbl><w:tblGrid><w:gridCol w:w="19250" w:type="dxa"/><w:gridCol w:w="550" w:type="dxa"/><w:gridCol w:w="50" w:type="dxa"/><w:gridCol w:w="25800" w:type="dxa"/><w:gridCol w:w="50" w:type="dxa"/><w:gridCol w:w="550" w:type="dxa"/><w:gridCol w:w="50" w:type="dxa"/><w:gridCol w:w="39050" w:type="dxa"/><w:gridCol w:w="50" w:type="dxa"/><w:gridCol w:w="550" w:type="dxa"/><w:gridCol w:w="50" w:type="dxa"/><w:gridCol w:w="22600" w:type="dxa"/><w:gridCol w:w="50" w:type="dxa"/><w:gridCol w:w="550" w:type="dxa"/><w:gridCol w:w="50" w:type="dxa"/><w:gridCol w:w="21449999999999900" w:type="dxa"/><w:gridCol w:w="50" w:type="dxa"/></w:tblGrid><w:tblPr><w:tblW w:w="0" w:type="pct"/><w:tblLayout w:type="autofit"/></w:tblPr><w:tr><w:trPr/><w:tc><w:tcPr><w:tcW w:w="19250" w:type="pct"/><w:noWrap/></w:tcPr><w:p><w:pPr/></w:p></w:tc><w:tc><w:tcPr><w:tcW w:w="550" w:type="pct"/><w:noWrap/></w:tcPr><w:p><w:pPr/></w:p></w:tc><w:tc><w:tcPr><w:tcW w:w="50" w:type="pct"/><w:noWrap/></w:tcPr><w:p><w:pPr/></w:p></w:tc><w:tc><w:tcPr><w:tcW w:w="25800" w:type="pct"/><w:noWrap/></w:tcPr><w:p><w:pPr/></w:p></w:tc><w:tc><w:tcPr><w:tcW w:w="50" w:type="pct"/><w:noWrap/></w:tcPr><w:p><w:pPr/></w:p></w:tc><w:tc><w:tcPr><w:tcW w:w="550" w:type="pct"/><w:noWrap/></w:tcPr><w:p><w:pPr/></w:p></w:tc><w:tc><w:tcPr><w:tcW w:w="50" w:type="pct"/><w:noWrap/></w:tcPr><w:p><w:pPr/></w:p></w:tc><w:tc><w:tcPr><w:tcW w:w="39050" w:type="pct"/><w:noWrap/></w:tcPr><w:p><w:pPr/></w:p></w:tc><w:tc><w:tcPr><w:tcW w:w="50" w:type="pct"/><w:noWrap/></w:tcPr><w:p><w:pPr/></w:p></w:tc><w:tc><w:tcPr><w:tcW w:w="550" w:type="pct"/><w:noWrap/></w:tcPr><w:p><w:pPr/></w:p></w:tc><w:tc><w:tcPr><w:tcW w:w="50" w:type="pct"/><w:noWrap/></w:tcPr><w:p><w:pPr/></w:p></w:tc><w:tc><w:tcPr><w:tcW w:w="22600" w:type="pct"/><w:noWrap/></w:tcPr><w:p><w:pPr/></w:p></w:tc><w:tc><w:tcPr><w:tcW w:w="50" w:type="pct"/><w:noWrap/></w:tcPr><w:p><w:pPr/></w:p></w:tc><w:tc><w:tcPr><w:tcW w:w="550" w:type="pct"/><w:noWrap/></w:tcPr><w:p><w:pPr/></w:p></w:tc><w:tc><w:tcPr><w:tcW w:w="50" w:type="pct"/><w:noWrap/></w:tcPr><w:p><w:pPr/></w:p></w:tc><w:tc><w:tcPr><w:tcW w:w="214499999999999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(260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(2,205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1,945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Income tax expense decreased by $1.4 million, or 35%, to $2.5 million in the three months ended June 30, 2024 from $3.9 million in the three months ended June 30, 2023. Income tax expense decreased by $1.9 million, or 88%, to $0.3 million in the six months ended June 30, 2024 from $2.2 million in the six months ended June 30, 2023. The decrease in the income tax expense is primarily attributable to a lower estimated effective tax rate for the twelve months ended December 31, 2024 resulting from a reduction in expected pre-tax income in 2024 compared to 2023.</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Liquidity and Capital Resources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June 30, 2024, we had working capital of $148.5 million, which included $89.9 million in cash and cash equivalents. We also have $125.0 million available for future revolving borrowings under our Revolving Facility (see Note 10, </w:t></w:r><w:r><w:rPr><w:rFonts w:ascii="Times New Roman" w:hAnsi="Times New Roman" w:eastAsia="Times New Roman" w:cs="Times New Roman"/><w:color w:val="000000"/><w:sz w:val="20"/><w:szCs w:val="20"/><w:i w:val="1"/><w:iCs w:val="1"/></w:rPr><w:t xml:space="preserve">Long-Term Debt Obligations</w:t></w:r><w:r><w:rPr><w:rFonts w:ascii="Times New Roman" w:hAnsi="Times New Roman" w:eastAsia="Times New Roman" w:cs="Times New Roman"/><w:color w:val="000000"/><w:sz w:val="20"/><w:szCs w:val="20"/></w:rPr><w:t xml:space="preserve"> to our condensed consolidated financial statements included in this Quarterly Report on Form 10-Q). We expect that our cash on hand and other components of working capital as of June 30, 2024, availability under the 2021 Credit Agreement, plus net cash flows from product sales, will be sufficient to fund our operating expenses, capital expenditure requirements and debt service payments for at least 12 months beyond the filing date of this quarterly report.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and research and development costs.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w:t></w:r></w:p><w:p><w:pPr><w:jc w:val="start"/><w:ind w:left="0" w:right="0" w:firstLine="0" w:hanging="0"/><w:spacing w:before="120" w:after="0"/></w:pPr><w:r><w:rPr><w:rFonts w:ascii="Times New Roman" w:hAnsi="Times New Roman" w:eastAsia="Times New Roman" w:cs="Times New Roman"/><w:color w:val="000000"/><w:sz w:val="20"/><w:szCs w:val="2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p><w:p><w:pPr><w:jc w:val="center"/><w:spacing w:before="240" w:after="0"/></w:pPr><w:r><w:rPr><w:rFonts w:ascii="Times New Roman" w:hAnsi="Times New Roman" w:eastAsia="Times New Roman" w:cs="Times New Roman"/><w:color w:val="000000"/><w:sz w:val="20"/><w:szCs w:val="20"/></w:rPr><w:t xml:space="preserve">26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Cash Flows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our cash flows for each of the periods presented: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4150" w:type="dxa"/><w:gridCol w:w="11700" w:type="dxa"/><w:gridCol w:w="50" w:type="dxa"/><w:gridCol w:w="49100" w:type="dxa"/><w:gridCol w:w="50" w:type="dxa"/><w:gridCol w:w="11700" w:type="dxa"/><w:gridCol w:w="50" w:type="dxa"/><w:gridCol w:w="13300" w:type="dxa"/><w:gridCol w:w="50" w:type="dxa"/></w:tblGrid><w:tblPr><w:tblW w:w="0" w:type="pct"/><w:tblLayout w:type="autofit"/></w:tblPr><w:tr><w:trPr/><w:tc><w:tcPr><w:tcW w:w="14150" w:type="pct"/><w:noWrap/></w:tcPr><w:p><w:pPr/></w:p></w:tc><w:tc><w:tcPr><w:tcW w:w="11700" w:type="pct"/><w:noWrap/></w:tcPr><w:p><w:pPr/></w:p></w:tc><w:tc><w:tcPr><w:tcW w:w="50" w:type="pct"/><w:noWrap/></w:tcPr><w:p><w:pPr/></w:p></w:tc><w:tc><w:tcPr><w:tcW w:w="49100" w:type="pct"/><w:noWrap/></w:tcPr><w:p><w:pPr/></w:p></w:tc><w:tc><w:tcPr><w:tcW w:w="50" w:type="pct"/><w:noWrap/></w:tcPr><w:p><w:pPr/></w:p></w:tc><w:tc><w:tcPr><w:tcW w:w="11700" w:type="pct"/><w:noWrap/></w:tcPr><w:p><w:pPr/></w:p></w:tc><w:tc><w:tcPr><w:tcW w:w="50" w:type="pct"/><w:noWrap/></w:tcPr><w:p><w:pPr/></w:p></w:tc><w:tc><w:tcPr><w:tcW w:w="13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Six Months Ended June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provided by (used in) operating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(5,424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3,569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cash used in investing activities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(4,102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(15,061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financing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(4,335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(2,290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change in cash, cash equivalents, and restricted cash</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(13,861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(13,782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i w:val="1"/><w:iCs w:val="1"/></w:rPr><w:t xml:space="preserve">Operating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2024, net cash used in operating activities was $5.4 million, resulting from our net loss of $19.1 million and net cash used in connection with changes in our operating assets and liabilities of $28.3 million, partially offset by net non-cash charges of $42.0 million. Changes in our operating assets and liabilities included an increase in inventory of $2.0 million, an increase in prepaid expenses and other current assets of $0.4 million, an increase in accounts receivable of $26.0 million, a decrease in operating lease liabilities of $5.9 million, and a decrease in accounts payable of $2.1 million, partially offset by an increase in accrued expenses and other current liabilities of $8.2 million, and an increase in other liabilities of $0.1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2023, net cash provided by operating activities was $3.6 million, resulting from our net income of $2.3 million and non-cash charges of $19.7 million, partially offset by net cash used in connection with changes in our operating assets and liabilities of $18.4 million. Net cash used in changes in our operating assets and liabilities included an increase in accounts receivable of $5.0 million, an increase in inventory of $4.0 million, an increase in prepaid expenses and other current assets of $2.9 million, a decrease in operating leases liabilities of $4.2 million, and a decrease in accounts payable of $3.5 million, partially offset by an increase in accrued expenses and other liabilities of $1.2 million.</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i w:val="1"/><w:iCs w:val="1"/></w:rPr><w:t xml:space="preserve">Investing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2024, we used $4.1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2023, we used $15.1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i w:val="1"/><w:iCs w:val="1"/></w:rPr><w:t xml:space="preserve">Financing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2024, net cash used in financing activities was $4.3 million. This consisted of the principal payment on our term loan of $2.8 million, principal payments on finance lease obligations of $0.5 million, and net cash payments associated with our stock awards activities of $1.0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2023, net cash used in financing activities was $2.3 million. This consisted of the principal payment on our term loan of $1.9 million, principal payments of our finance lease obligations and stock awards activities of $0.4 million.</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Indebtedness</w:t></w:r><w:r><w:rPr><w:rFonts w:ascii="Times New Roman" w:hAnsi="Times New Roman" w:eastAsia="Times New Roman" w:cs="Times New Roman"/><w:color w:val="000000"/><w:sz w:val="20"/><w:szCs w:val="20"/><w:b w:val="1"/><w:bCs w:val="1"/><w:i w:val="1"/><w:iCs w:val="1"/></w:rPr><w:t xml:space="preserve"> </w:t></w:r></w:p><w:p><w:pPr><w:jc w:val="start"/><w:spacing w:before="120" w:after="0"/></w:pPr><w:r><w:rPr><w:rFonts w:ascii="Times New Roman" w:hAnsi="Times New Roman" w:eastAsia="Times New Roman" w:cs="Times New Roman"/><w:color w:val="000000"/><w:sz w:val="20"/><w:szCs w:val="20"/><w:i w:val="1"/><w:iCs w:val="1"/></w:rPr><w:t xml:space="preserve">2021 Credit Agreement</w:t></w:r></w:p><w:p><w:pPr><w:jc w:val="start"/><w:ind w:left="0" w:right="0" w:firstLine="0" w:hanging="0"/><w:spacing w:before="120" w:after="0"/></w:pPr><w:r><w:rPr><w:rFonts w:ascii="Times New Roman" w:hAnsi="Times New Roman" w:eastAsia="Times New Roman" w:cs="Times New Roman"/><w:color w:val="000000"/><w:sz w:val="20"/><w:szCs w:val="20"/></w:rPr><w:t xml:space="preserve">In August 2021, we and our subsidiaries entered into a credit agreement with SVB and several other lenders, which we refer to as the 2021 Credit Agreement. The 2021 Credit Agreement, as amended, provides for a term loan facility not to exceed $75.0 million (the Term Loan Facility) and a revolving credit facility not to exceed $125.0 million (the Revolving Facility).</w:t></w:r></w:p><w:p><w:pPr><w:jc w:val="start"/><w:ind w:left="0" w:right="0" w:firstLine="0" w:hanging="0"/><w:spacing w:before="120" w:after="0"/></w:pPr><w:r><w:rPr><w:rFonts w:ascii="Times New Roman" w:hAnsi="Times New Roman" w:eastAsia="Times New Roman" w:cs="Times New Roman"/><w:color w:val="000000"/><w:sz w:val="20"/><w:szCs w:val="20"/></w:rPr><w:t xml:space="preserve">Advances made under the 2021 Credit Agreement may be either SOFR Loans or ABR Loans, at our option. For SOFR Loans, the interest rate is a per annum interest rate equal to the Adjusted Term SOFR</w:t></w:r><w:r><w:rPr><w:rFonts w:ascii="'Calibri'" w:hAnsi="'Calibri'" w:eastAsia="'Calibri'" w:cs="'Calibri'"/><w:color w:val="000000"/><w:sz w:val="20"/><w:szCs w:val="20"/></w:rPr><w:t xml:space="preserve"> </w:t></w:r><w:r><w:rPr><w:rFonts w:ascii="Times New Roman" w:hAnsi="Times New Roman" w:eastAsia="Times New Roman" w:cs="Times New Roman"/><w:color w:val="000000"/><w:sz w:val="20"/><w:szCs w:val="20"/></w:rPr><w:t xml:space="preserve">plus an Applicable Margin between 2.00% to 3.25% based on the Total Net Leverage Ratio. For ABR Loans, the interest rate is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1.00% to 2.25% based on the Total Net Leverage Ratio. On June 30, 2024, the applicable interest rate for outstanding borrowings is 7.64%.</w:t></w:r></w:p><w:p><w:pPr><w:jc w:val="start"/><w:ind w:left="0" w:right="0" w:firstLine="0" w:hanging="0"/><w:spacing w:before="120" w:after="0"/></w:pPr><w:r><w:rPr><w:rFonts w:ascii="Times New Roman" w:hAnsi="Times New Roman" w:eastAsia="Times New Roman" w:cs="Times New Roman"/><w:color w:val="000000"/><w:sz w:val="20"/><w:szCs w:val="20"/></w:rPr><w:t xml:space="preserve">The 2021 Credit Agreement requires us to make consecutive quarterly installment payments equal to the following: (a) from September 30, 2021 through and including June 30, 2022, $0.5 million; (b) from September 30, 2022 through and including June 30,</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2023, $0.9 million; (c) from September 30, 2023 through and including June 30, 2025, $1.4 million and (d) from September 30, 2025 and the last day of each quarter thereafter until August 6, 2026 (the Term Loan Maturity Date), $1.9 million. The remaining principal balance of $50.6 million is also due on the Term Loan Maturity Date. We may prepay the Term Loan Facility. Once repaid, amounts borrowed under the Term Loan Facility may not be re-borrowed.</w:t></w:r></w:p><w:p><w:pPr><w:jc w:val="start"/><w:ind w:left="0" w:right="0" w:firstLine="0" w:hanging="0"/><w:spacing w:before="120" w:after="0"/></w:pPr><w:r><w:rPr><w:rFonts w:ascii="Times New Roman" w:hAnsi="Times New Roman" w:eastAsia="Times New Roman" w:cs="Times New Roman"/><w:color w:val="000000"/><w:sz w:val="20"/><w:szCs w:val="2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p><w:p><w:pPr><w:jc w:val="start"/><w:ind w:left="0" w:right="0" w:firstLine="0" w:hanging="0"/><w:spacing w:before="120" w:after="0"/></w:pPr><w:r><w:rPr><w:rFonts w:ascii="Times New Roman" w:hAnsi="Times New Roman" w:eastAsia="Times New Roman" w:cs="Times New Roman"/><w:color w:val="000000"/><w:sz w:val="20"/><w:szCs w:val="20"/></w:rPr><w:t xml:space="preserve">Under the 2021 Credit Agreement, we are required to comply with certain financial covenants including the Consolidated Fixed Charge Coverage Ratio and Consolidated Total Net Leverage Ratio,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w:pPr><w:r><w:rPr><w:rFonts w:ascii="Times New Roman" w:hAnsi="Times New Roman" w:eastAsia="Times New Roman" w:cs="Times New Roman"/><w:color w:val="000000"/><w:sz w:val="20"/><w:szCs w:val="20"/></w:rPr><w:t xml:space="preserve">As of June 30, 2024, we were in compliance with the covenants under the 2021 Credit Agreement. We had outstanding borrowings of $63.8 million under our Term Loan Facility and no borrowings outstanding under our Revolving Facility with $125.0 million available for future revolving borrowings, respectively.</w:t></w:r></w:p><w:p><w:pPr><w:jc w:val="start"/><w:spacing w:before="240" w:after="0"/></w:pPr><w:r><w:rPr><w:rFonts w:ascii="Times New Roman" w:hAnsi="Times New Roman" w:eastAsia="Times New Roman" w:cs="Times New Roman"/><w:color w:val="000000"/><w:sz w:val="20"/><w:szCs w:val="20"/><w:b w:val="1"/><w:bCs w:val="1"/></w:rPr><w:t xml:space="preserve">Critical Accounting Policies and Significant Judgments and Estimates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unaudited condensed consolidated financial statements have been prepared in accordance with GAAP. The preparation of unaudited condensed consolidated financial statements requires us to make estimates, assumptions and judgments that affect the reported amounts of assets, liabilities, and the disclosure at the date of the unaudited condensed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condensed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condensed consolidated statements of operations and comprehensive income (loss), liquidity and financial condition. See also our Annual Report on Form 10-K for the fiscal year ended December 31, 2023, for information about these accounting policies as well as a description of our other significant accounting policies.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Off-Balance Sheet Arrangements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did not have, during the periods presented, and we do not currently have, any off-balance sheet arrangements, as defined in the rules and regulations of the SEC.</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Recently Issued Accounting Pronouncements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have reviewed all recently issued standards as disclosed in Note 2, </w:t></w:r><w:r><w:rPr><w:rFonts w:ascii="Times New Roman" w:hAnsi="Times New Roman" w:eastAsia="Times New Roman" w:cs="Times New Roman"/><w:color w:val="000000"/><w:sz w:val="20"/><w:szCs w:val="20"/><w:i w:val="1"/><w:iCs w:val="1"/></w:rPr><w:t xml:space="preserve">Summary of Significant Accounting Policies</w:t></w:r><w:r><w:rPr><w:rFonts w:ascii="Times New Roman" w:hAnsi="Times New Roman" w:eastAsia="Times New Roman" w:cs="Times New Roman"/><w:color w:val="000000"/><w:sz w:val="20"/><w:szCs w:val="20"/></w:rPr><w:t xml:space="preserve"> to our condensed consolidated financial statements included in this Quarterly Report on Form 10-Q.</w:t></w:r></w:p><w:p><w:pPr><w:jc w:val="start"/><w:spacing w:before="360" w:after="0"/></w:pPr><w:r><w:rPr><w:rFonts w:ascii="Times New Roman" w:hAnsi="Times New Roman" w:eastAsia="Times New Roman" w:cs="Times New Roman"/><w:color w:val="000000"/><w:sz w:val="20"/><w:szCs w:val="20"/><w:b w:val="1"/><w:bCs w:val="1"/></w:rPr><w:t xml:space="preserve">Item 3. Quantitative and Qualitati</w:t></w:r><w:r><w:rPr><w:rFonts w:ascii="Times New Roman" w:hAnsi="Times New Roman" w:eastAsia="Times New Roman" w:cs="Times New Roman"/><w:color w:val="000000"/><w:sz w:val="20"/><w:szCs w:val="20"/><w:b w:val="1"/><w:bCs w:val="1"/></w:rPr><w:t xml:space="preserve">ve Disclosures About Market Risk.</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six months ended June 30, 2024, there were no material changes to our market risk disclosures as set forth in Part II, Item 7A, “Quantitative and Qualitative Disclosures About Market Risk” in our Annual Report on Form 10-K for the fiscal year ended December 31, 2023.</w:t></w:r></w:p><w:p><w:pPr><w:jc w:val="center"/><w:spacing w:before="240" w:after="0"/></w:pPr><w:r><w:rPr><w:rFonts w:ascii="Times New Roman" w:hAnsi="Times New Roman" w:eastAsia="Times New Roman" w:cs="Times New Roman"/><w:color w:val="000000"/><w:sz w:val="20"/><w:szCs w:val="20"/></w:rPr><w:t xml:space="preserve">28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4. Controls</w:t></w:r><w:r><w:rPr><w:rFonts w:ascii="Times New Roman" w:hAnsi="Times New Roman" w:eastAsia="Times New Roman" w:cs="Times New Roman"/><w:color w:val="000000"/><w:sz w:val="20"/><w:szCs w:val="20"/><w:b w:val="1"/><w:bCs w:val="1"/></w:rPr><w:t xml:space="preserve"> and Procedures</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rPr><w:t xml:space="preserve">Evaluation of Disclosure Controls and Procedures</w:t></w:r></w:p><w:p><w:pPr><w:jc w:val="start"/><w:ind w:left="0" w:right="0" w:firstLine="0" w:hanging="0"/><w:spacing w:before="120" w:after="0"/></w:pPr><w:r><w:rPr><w:rFonts w:ascii="Times New Roman" w:hAnsi="Times New Roman" w:eastAsia="Times New Roman" w:cs="Times New Roman"/><w:color w:val="000000"/><w:sz w:val="20"/><w:szCs w:val="20"/></w:rPr><w:t xml:space="preserve">Our management, with the participation of our principal executive officer and principal financial officer, evaluated the effectiveness of our disclosure controls and procedures as of June 30, 2024. The term “disclosure controls and procedures,” as defined in Rules 13a-15(e) and 15d-15(e) under the Securities Exchange Act of 1934, as amended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promulgated by the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Based on that evaluation, our management, including our principal executive officer and principal financial officer, concluded that, as of June 30, 2024, our disclosure controls and procedures were ineffective because, as disclosed in the Company’s Annual Report for the fiscal year ended December 31, 2023, we did not design and maintain effective controls over information technology general controls and proper segregation of duties to support the proper initiation and recording of transactions and the resulting impact on business process controls and applications that rely on such data.</w:t></w:r></w:p><w:p><w:pPr><w:jc w:val="start"/><w:ind w:left="0" w:right="0" w:firstLine="0" w:hanging="0"/><w:spacing w:before="120" w:after="0"/></w:pPr><w:r><w:rPr><w:rFonts w:ascii="Times New Roman" w:hAnsi="Times New Roman" w:eastAsia="Times New Roman" w:cs="Times New Roman"/><w:color w:val="000000"/><w:sz w:val="20"/><w:szCs w:val="20"/></w:rPr><w:t xml:space="preserve">Management assessed the effectiveness of the Company’s internal control over financial reporting based on the criteria established in the SEC guidance on conducting such assessments as of the end of the period covered by this report. Management conducted the assessment based on certain criteria established in </w:t></w:r><w:r><w:rPr><w:rFonts w:ascii="Times New Roman" w:hAnsi="Times New Roman" w:eastAsia="Times New Roman" w:cs="Times New Roman"/><w:color w:val="000000"/><w:sz w:val="20"/><w:szCs w:val="20"/><w:i w:val="1"/><w:iCs w:val="1"/></w:rPr><w:t xml:space="preserve">Internal Control— Integrated Framework</w:t></w:r><w:r><w:rPr><w:rFonts w:ascii="Times New Roman" w:hAnsi="Times New Roman" w:eastAsia="Times New Roman" w:cs="Times New Roman"/><w:color w:val="000000"/><w:sz w:val="20"/><w:szCs w:val="20"/></w:rPr><w:t xml:space="preserve"> issued by the Committee of Sponsoring Organizations of the Treadway Commission in 2013 (COSO framework). Although it has made progress in remediating the remaining material weakness, as a result of its assessment, management concluded that as of June 30, 2024, our internal control over financial reporting was ineffective based on the criteria of the COSO framework, and the continued existence of the material weakness described above.</w:t></w:r></w:p><w:p><w:pPr><w:jc w:val="start"/><w:spacing w:before="240" w:after="0"/></w:pPr><w:r><w:rPr><w:rFonts w:ascii="Times New Roman" w:hAnsi="Times New Roman" w:eastAsia="Times New Roman" w:cs="Times New Roman"/><w:color w:val="000000"/><w:sz w:val="20"/><w:szCs w:val="20"/><w:b w:val="1"/><w:bCs w:val="1"/></w:rPr><w:t xml:space="preserve">Plans for Remediation of Material Weakness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Management has taken actions to remediate the deficiencies in its internal controls over financial reporting and implemented additional processes and controls designed to address the underlying causes associated with the above-mentioned material weakness. Management’s internal control remediation efforts include the following:</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During the second quarter of 2024, we completed the implementation of certain modules in a new company-wide enterprise resource planning (ERP) system to provide additional systematic controls and segregation of duties for our accounting processes. We have implemented additional controls to mitigate existing risks of proper segregation and change configurations. </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An outside firm will continue to assist management with performing control operating effectiveness testing throughout the year. </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We regularly reported the results of control testing to the key stakeholders across our organization, including our audit committee, on testing progress and defined corrective actions, and we monitored and reported on the results of control remediation. We have strengthened our internal policies, processes, and reviews through these actions.</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We have continued working on documenting and remediating weaknesses and structuring the Company’s processes to meet Sarbanes-Oxley (SOX) 404(b) requirements. </w:t></w:r></w:p><w:p><w:pPr><w:jc w:val="start"/><w:ind w:left="0" w:right="0" w:firstLine="0" w:hanging="0"/><w:spacing w:before="120" w:after="0"/></w:pPr><w:r><w:rPr><w:rFonts w:ascii="Times New Roman" w:hAnsi="Times New Roman" w:eastAsia="Times New Roman" w:cs="Times New Roman"/><w:color w:val="000000"/><w:sz w:val="20"/><w:szCs w:val="20"/></w:rPr><w:t xml:space="preserve">We believe the appropriate controls have been implemented in remediating the remaining material weakness. Until the controls have been operating for a sufficient period of time during 2024 and management has concluded, through testing, that these controls are executed consistently and operating effectively, the material weakness described above will continue to exist.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Changes in Internal Control Over Financial Reporting</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There have been no changes in our internal control over financial reporting that occurred during the quarter ended June 30, 2024 that have materially affected, or are reasonably likely to materially affect, our internal control over financial reporting other than those described above related to remediation efforts of the remaining material weakness. As the implementation of the remaining modules of the new ERP system continues, and management continues to test its aforementioned new controls throughout 2024, we will change our processes and procedures, which in turn, could result in changes to our internal control over financial reporting. As such changes occur, we will evaluate quarterly whether such changes materially affect our internal control over financial reporting.</w:t></w:r></w:p><w:p><w:pPr><w:jc w:val="center"/><w:spacing w:before="240" w:after="0"/></w:pPr><w:r><w:rPr><w:rFonts w:ascii="Times New Roman" w:hAnsi="Times New Roman" w:eastAsia="Times New Roman" w:cs="Times New Roman"/><w:color w:val="000000"/><w:sz w:val="20"/><w:szCs w:val="20"/></w:rPr><w:t xml:space="preserve">29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PART II – OTHER</w:t></w:r><w:r><w:rPr><w:rFonts w:ascii="Times New Roman" w:hAnsi="Times New Roman" w:eastAsia="Times New Roman" w:cs="Times New Roman"/><w:color w:val="000000"/><w:sz w:val="20"/><w:szCs w:val="20"/><w:b w:val="1"/><w:bCs w:val="1"/></w:rPr><w:t xml:space="preserve"> INFORMATION</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rPr><w:t xml:space="preserve">Item 1. Legal </w:t></w:r><w:r><w:rPr><w:rFonts w:ascii="Times New Roman" w:hAnsi="Times New Roman" w:eastAsia="Times New Roman" w:cs="Times New Roman"/><w:color w:val="000000"/><w:sz w:val="20"/><w:szCs w:val="20"/><w:b w:val="1"/><w:bCs w:val="1"/></w:rPr><w:t xml:space="preserve">Proceedings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December 10, 2021, a class action complaint captioned Somogyi v. Organogenesis Holdings Inc., et al. was filed on behalf of a putative class of all purchasers of our securities against us and our Chief Executive Officer and Chief Financial Officer in the United States District Court for the Eastern District of New York (the Court). The Court appointed Donald Martin as lead plaintiff. Mr. Martin filed an amended complaint on October 24, 2022 that brought claims on behalf of a purported class of all purchasers of our securities from August 10, 2020 through August 9, 2022 and alleged violations of federal securities law in connection with alleged false and misleading statements with respect to, among other matters, revenue, sales growth and ability to compete in connection with our Affinity and PuraPly XT products. The amended complaint alleged violations of the Securities Exchange Act of 1934 and Rule 10b-5 promulgated thereunder, and sought unquantified damages as well as attorneys’ fees, expert fees and other costs. On March 13, 2023, we filed our motion to dismiss the litigation for failure to state a claim upon which relief can be granted, and briefing was completed on May 30, 2023. On March 29, 2024, the Court granted, with prejudice, the Company’s motion to dismiss all claims asserted and the plaintiffs did not appeal the Court’s determination.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are not a party to any other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Item 1A. Ri</w:t></w:r><w:r><w:rPr><w:rFonts w:ascii="Times New Roman" w:hAnsi="Times New Roman" w:eastAsia="Times New Roman" w:cs="Times New Roman"/><w:color w:val="000000"/><w:sz w:val="20"/><w:szCs w:val="20"/><w:b w:val="1"/><w:bCs w:val="1"/></w:rPr><w:t xml:space="preserve">sk Factors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Investing in our Class A common stock involves a high degree of risk. Our Annual Report on Form 10-K for the year ended December 31, 2023, includes a detailed discussion of our risk factors under the heading “Part I, Item 1A—Risk Factors.” Except as set forth below, there have been no material changes from such risk factors during the quarter ended June 30, 2024. You should consider carefully the risk factors discussed in our Annual Report on Form 10-K for the year ended December 31, 2023, and all other information contained in or incorporated by reference in this Quarterly Report on Form 10-Q before making an investment decision. If any of the risks discussed in the Annual Report on Form 10-K for the year ended December 31, 2023, or 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Seven MACs recently published new proposed LCDs, for skin substitute grafts/CTPs for the treatment of DFUs and VLUs in the Medicare population that list certain of our products as non-covered. If the final LCDs include this non-coverage determination, it could, at least in the near term, have a material adverse effect on utilization of these products, our business and our revenue.</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MACs (CGS, WPS, NGS, Palmetto, Novitas, First Coast Services, and Noridian) published new proposed LCDs for skin substitute grafts/CTPs for the treatment of DFUs and VLUs in the Medicare population. While our Affinity, Apligraf and Dermagraft products remain covered, the proposed LCDs classify our PuraPly, Novachor, TransCyte, NuShield, Dual, and Matrix products as “non-covered.” If the final LCDs do not include coverage for these products, it would present a significant amount of uncertainty, at least in the near term, regarding future revenue for these products. Although we have engaged with the MACs and provided clinical evidence for certain of these non-covered products demonstrating their efficacy for the treatment of DFUs and VLUs, there is no guarantee that the MACs will agree to cover these products in the final LCDs. If these products are not covered in the final LCDs, it could, at least in the near term, materially and adversely impact utilization of these products, our business and our revenue.</w:t></w:r></w:p><w:p><w:pPr><w:jc w:val="start"/><w:spacing w:before="360" w:after="0"/></w:pPr><w:r><w:rPr><w:rFonts w:ascii="Times New Roman" w:hAnsi="Times New Roman" w:eastAsia="Times New Roman" w:cs="Times New Roman"/><w:color w:val="000000"/><w:sz w:val="20"/><w:szCs w:val="20"/><w:b w:val="1"/><w:bCs w:val="1"/></w:rPr><w:t xml:space="preserve">Item 2. Unregistered Sales of Equit</w:t></w:r><w:r><w:rPr><w:rFonts w:ascii="Times New Roman" w:hAnsi="Times New Roman" w:eastAsia="Times New Roman" w:cs="Times New Roman"/><w:color w:val="000000"/><w:sz w:val="20"/><w:szCs w:val="20"/><w:b w:val="1"/><w:bCs w:val="1"/></w:rPr><w:t xml:space="preserve">y Securities and Use of Proceeds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360" w:after="0"/></w:pPr><w:r><w:rPr><w:rFonts w:ascii="Times New Roman" w:hAnsi="Times New Roman" w:eastAsia="Times New Roman" w:cs="Times New Roman"/><w:color w:val="000000"/><w:sz w:val="20"/><w:szCs w:val="20"/><w:b w:val="1"/><w:bCs w:val="1"/></w:rPr><w:t xml:space="preserve">Item 3. Defaults Upo</w:t></w:r><w:r><w:rPr><w:rFonts w:ascii="Times New Roman" w:hAnsi="Times New Roman" w:eastAsia="Times New Roman" w:cs="Times New Roman"/><w:color w:val="000000"/><w:sz w:val="20"/><w:szCs w:val="20"/><w:b w:val="1"/><w:bCs w:val="1"/></w:rPr><w:t xml:space="preserve">n Senior Securities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center"/><w:spacing w:before="240" w:after="0"/></w:pPr><w:r><w:rPr><w:rFonts w:ascii="Times New Roman" w:hAnsi="Times New Roman" w:eastAsia="Times New Roman" w:cs="Times New Roman"/><w:color w:val="000000"/><w:sz w:val="20"/><w:szCs w:val="20"/></w:rPr><w:t xml:space="preserve">30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4. Mine Saf</w:t></w:r><w:r><w:rPr><w:rFonts w:ascii="Times New Roman" w:hAnsi="Times New Roman" w:eastAsia="Times New Roman" w:cs="Times New Roman"/><w:color w:val="000000"/><w:sz w:val="20"/><w:szCs w:val="20"/><w:b w:val="1"/><w:bCs w:val="1"/></w:rPr><w:t xml:space="preserve">ety Disclosures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Not Applicable.</w:t></w:r></w:p><w:p><w:pPr><w:jc w:val="start"/><w:spacing w:before="360" w:after="0"/></w:pPr><w:r><w:rPr><w:rFonts w:ascii="Times New Roman" w:hAnsi="Times New Roman" w:eastAsia="Times New Roman" w:cs="Times New Roman"/><w:color w:val="000000"/><w:sz w:val="20"/><w:szCs w:val="20"/><w:b w:val="1"/><w:bCs w:val="1"/></w:rPr><w:t xml:space="preserve">Item 5. Other </w:t></w:r><w:r><w:rPr><w:rFonts w:ascii="Times New Roman" w:hAnsi="Times New Roman" w:eastAsia="Times New Roman" w:cs="Times New Roman"/><w:color w:val="000000"/><w:sz w:val="20"/><w:szCs w:val="20"/><w:b w:val="1"/><w:bCs w:val="1"/></w:rPr><w:t xml:space="preserve">Information</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June 30, 2024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director or officer of the Company adopted or terminated a “Rule 10b5-1 trading arrangement” or “non-rule 10b5-1 trading arrangement,” as each term is defined in item 408(a) of Regulation S-K.</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31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6. E</w:t></w:r><w:r><w:rPr><w:rFonts w:ascii="Times New Roman" w:hAnsi="Times New Roman" w:eastAsia="Times New Roman" w:cs="Times New Roman"/><w:color w:val="000000"/><w:sz w:val="20"/><w:szCs w:val="20"/><w:b w:val="1"/><w:bCs w:val="1"/></w:rPr><w:t xml:space="preserve">xhibits</w:t></w:r></w:p><w:p><w:pPr><w:jc w:val="start"/><w:spacing w:before="0" w:after="0"/></w:pPr><w:r><w:rPr><w:rFonts w:ascii="Times New Roman" w:hAnsi="Times New Roman" w:eastAsia="Times New Roman" w:cs="Times New Roman"/><w:sz w:val="24"/><w:szCs w:val="24"/></w:rPr><w:t xml:space="preserve"> </w:t></w:r></w:p><w:tbl><w:tblGrid><w:gridCol w:w="400" w:type="dxa"/><w:gridCol w:w="50" w:type="dxa"/><w:gridCol w:w="4600" w:type="dxa"/></w:tblGrid><w:tblPr><w:tblW w:w="0" w:type="pct"/><w:tblLayout w:type="autofit"/></w:tblPr><w:tr><w:trPr/><w:tc><w:tcPr><w:tcW w:w="400" w:type="pct"/><w:noWrap/></w:tcPr><w:p><w:pPr/></w:p></w:tc><w:tc><w:tcPr><w:tcW w:w="50" w:type="pct"/><w:noWrap/></w:tcPr><w:p><w:pPr/></w:p></w:tc><w:tc><w:tcPr><w:tcW w:w="4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Exhibit</w:t></w:r></w:p><w:p><w:pPr><w:jc w:val="center"/><w:spacing w:before="0" w:after="0"/></w:pPr><w:r><w:rPr><w:rFonts w:ascii="Times New Roman" w:hAnsi="Times New Roman" w:eastAsia="Times New Roman" w:cs="Times New Roman"/><w:color w:val="000000"/><w:sz w:val="16"/><w:szCs w:val="16"/><w:b w:val="1"/><w:bCs w:val="1"/></w:rPr><w:t xml:space="preserve">number</w:t></w:r><w:r><w:rPr><w:rFonts w:ascii="Times New Roman" w:hAnsi="Times New Roman" w:eastAsia="Times New Roman" w:cs="Times New Roman"/><w:color w:val="000000"/><w:sz w:val="16"/><w:szCs w:val="16"/></w:rPr><w:t xml:space="preserve"> </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Description</w:t></w:r><w:r><w:rPr><w:rFonts w:ascii="Times New Roman" w:hAnsi="Times New Roman" w:eastAsia="Times New Roman" w:cs="Times New Roman"/><w:color w:val="000000"/><w:sz w:val="16"/><w:szCs w:val="16"/></w:rPr><w:t xml:space="preserve"> </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center"/><w:noWrap/></w:tcPr><w:p><w:pPr><w:jc w:val="start"/><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3.3</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29"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0" w:history="1"><w:r><w:rPr/><w:t xml:space="preserve">2018 Equity Incentive Plan (as amended) (incorporated by reference to Exhibit 10.1 to the Company’s Current Report on Form 8-K (File No. 001-37906) filed with the SEC on June 21, 2024)</w:t></w:r></w:hyperlink></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1" w:history="1"><w:r><w:rPr/><w:t xml:space="preserve">Certification of Principal Executive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2" w:history="1"><w:r><w:rPr/><w:t xml:space="preserve">Certification of Principal Financial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3" w:history="1"><w:r><w:rPr/><w:t xml:space="preserve">Certification of Principal Executive Officer and Principal Financial Officer pursuant to 18 U.S.C. Section 1350, as adopted pursuant to Section 906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101.INS</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Instance Document XBRL</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101.SCH</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Schema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101.CAL</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Calculation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101.DEF</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Definition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101.LAB</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Label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101.PRE</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Presentation Linkbase Document</w:t></w:r></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Cover Page Interactive Data File (formatted as Inline XBRL and contained in Exhibit 101)</w:t></w:r></w:p></w:tc></w:tr></w:tbl><w:p><w:pPr><w:jc w:val="start"/><w:spacing w:before="0" w:after="0"/></w:pP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12"/><w:szCs w:val="12"/></w:rPr><w:t xml:space="preserve"> </w:t></w:r></w:p><w:p><w:pPr><w:jc w:val="start"/><w:spacing w:before="40" w:after="0"/></w:pPr><w:r><w:rPr><w:rFonts w:ascii="Times New Roman" w:hAnsi="Times New Roman" w:eastAsia="Times New Roman" w:cs="Times New Roman"/><w:color w:val="000000"/><w:sz w:val="20"/><w:szCs w:val="20"/><w:i w:val="1"/><w:iCs w:val="1"/></w:rPr><w:t xml:space="preserve"> Filed herewith</w:t></w:r></w:p><w:p><w:pPr><w:jc w:val="start"/><w:spacing w:before="40" w:after="0"/></w:pPr><w:r><w:rPr><w:rFonts w:ascii="Times New Roman" w:hAnsi="Times New Roman" w:eastAsia="Times New Roman" w:cs="Times New Roman"/><w:sz w:val="20"/><w:szCs w:val="20"/></w:rPr><w:t xml:space="preserve"> </w:t></w:r></w:p><w:p><w:pPr><w:jc w:val="start"/><w:spacing w:before="40" w:after="0"/></w:pPr><w:r><w:rPr><w:rFonts w:ascii="Times New Roman" w:hAnsi="Times New Roman" w:eastAsia="Times New Roman" w:cs="Times New Roman"/><w:color w:val="000000"/><w:sz w:val="20"/><w:szCs w:val="20"/><w:i w:val="1"/><w:iCs w:val="1"/></w:rPr><w:t xml:space="preserve"> </w:t></w:r></w:p><w:p><w:pPr><w:jc w:val="start"/><w:ind w:left="0" w:right="0" w:firstLine="0" w:hanging="0"/><w:spacing w:before="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SIGNAT</w:t></w:r><w:r><w:rPr><w:rFonts w:ascii="Times New Roman" w:hAnsi="Times New Roman" w:eastAsia="Times New Roman" w:cs="Times New Roman"/><w:color w:val="000000"/><w:sz w:val="20"/><w:szCs w:val="20"/><w:b w:val="1"/><w:bCs w:val="1"/></w:rPr><w:t xml:space="preserve">URES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Pursuant to the requirements of the Securities Exchange Act of 1934, the registrant has duly caused this report to be signed on its behalf by the undersigned thereunto duly authorized.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500" w:type="dxa"/><w:gridCol w:w="600" w:type="dxa"/><w:gridCol w:w="4400" w:type="dxa"/></w:tblGrid><w:tblPr><w:tblW w:w="0" w:type="pct"/><w:tblLayout w:type="autofit"/></w:tblPr><w:tr><w:trPr/><w:tc><w:tcPr><w:tcW w:w="2500" w:type="pct"/><w:noWrap/></w:tcPr><w:p><w:pPr/></w:p></w:tc><w:tc><w:tcPr><w:tcW w:w="600" w:type="pct"/><w:noWrap/></w:tcPr><w:p><w:pPr/></w:p></w:tc><w:tc><w:tcPr><w:tcW w:w="4400" w:type="pct"/><w:noWrap/></w:tcPr><w:p><w:pP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Dated: August 8, 2024</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b w:val="1"/><w:bCs w:val="1"/></w:rPr><w:t xml:space="preserve">Organogenesis Holdings Inc.</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rPr><w:t xml:space="preserve">(Registrant)</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rPr><w:t xml:space="preserve">/s/ David Francisco</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David Francisco</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Chief Financial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(Principal Financial and Accounting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33</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119312519245823/d772464dex32.htm" TargetMode="External"/><Relationship Id="rId30" Type="http://schemas.openxmlformats.org/officeDocument/2006/relationships/hyperlink" Target="https://www.sec.gov/ix?doc=/Archives/edgar/data/1661181/000119312524165670/d826313d8k.htm" TargetMode="External"/><Relationship Id="rId31" Type="http://schemas.openxmlformats.org/officeDocument/2006/relationships/hyperlink" Target="orgo-ex31_1.htm" TargetMode="External"/><Relationship Id="rId32" Type="http://schemas.openxmlformats.org/officeDocument/2006/relationships/hyperlink" Target="orgo-ex31_2.htm" TargetMode="External"/><Relationship Id="rId33"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2026-08-07T06:17:10-04:00</dcterms:created>
  <dcterms:modified xsi:type="dcterms:W3CDTF">2026-08-07T06:17:10-04:00</dcterms:modified>
</cp:coreProperties>
</file>

<file path=docProps/custom.xml><?xml version="1.0" encoding="utf-8"?>
<Properties xmlns="http://schemas.openxmlformats.org/officeDocument/2006/custom-properties" xmlns:vt="http://schemas.openxmlformats.org/officeDocument/2006/docPropsVTypes"/>
</file>