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March 31, </w:t></w:r><w:r><w:rPr><w:rFonts w:ascii="Times New Roman" w:hAnsi="Times New Roman" w:eastAsia="Times New Roman" w:cs="Times New Roman"/><w:color w:val="000000"/><w:sz w:val="20"/><w:szCs w:val="20"/><w:b w:val="1"/><w:bCs w:val="1"/></w:rPr><w:t xml:space="preserve">2025</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April 30, 2025 was </w:t></w:r><w:r><w:rPr><w:rFonts w:ascii="Times New Roman" w:hAnsi="Times New Roman" w:eastAsia="Times New Roman" w:cs="Times New Roman"/><w:color w:val="000000"/><w:sz w:val="16"/><w:szCs w:val="16"/></w:rPr><w:t xml:space="preserve">126,853,536</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March 31, 2025</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Redeemable Convertible Preferred Stock and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18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2024.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109,965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135,571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569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103,320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29,338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26,219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Asset held for sale (Note 6)</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7,033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17,935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13,710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268,160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285,941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Property and equipment,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75,518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89,128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Intangible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11,626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Goodwill</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right-of-use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36,756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37,110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Deferred tax asset,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40,728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39,462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5,834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5,005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467,394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Liabilities, Redeemable Convertible Preferred Stock, and Stockholders’ Equity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3,712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4,353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4,272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24,660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28,911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31,135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39,453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65,053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77,477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Finance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411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718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 - related party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7,339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8,283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25,625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25,198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99,325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112,570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Commitments and contingencies</w:t></w:r><w:r><w:rPr><w:rFonts w:ascii="Times New Roman" w:hAnsi="Times New Roman" w:eastAsia="Times New Roman" w:cs="Times New Roman"/><w:color w:val="000000"/><w:sz w:val="16"/><w:szCs w:val="16"/><w:shd w:val="clear" w:fill="ffffff"/></w:rPr><w:t xml:space="preserve"> (Note 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Series A redeemable convertible preferred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130,000</w:t></w:r><w:r><w:rPr><w:rFonts w:ascii="Times New Roman" w:hAnsi="Times New Roman" w:eastAsia="Times New Roman" w:cs="Times New Roman"/><w:color w:val="000000"/><w:sz w:val="16"/><w:szCs w:val="16"/><w:shd w:val="clear" w:fill="ffffff"/></w:rPr><w:t xml:space="preserve"> shares authorized, issued and outstanding at March 31, 2025 and December 31, 2024; liquidation preference of $</w:t></w:r><w:r><w:rPr><w:rFonts w:ascii="Times New Roman" w:hAnsi="Times New Roman" w:eastAsia="Times New Roman" w:cs="Times New Roman"/><w:color w:val="000000"/><w:sz w:val="16"/><w:szCs w:val="16"/><w:shd w:val="clear" w:fill="ffffff"/></w:rPr><w:t xml:space="preserve">134,014</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131,387</w:t></w:r><w:r><w:rPr><w:rFonts w:ascii="Times New Roman" w:hAnsi="Times New Roman" w:eastAsia="Times New Roman" w:cs="Times New Roman"/><w:color w:val="000000"/><w:sz w:val="16"/><w:szCs w:val="16"/><w:shd w:val="clear" w:fill="ffffff"/></w:rPr><w:t xml:space="preserve"> at March 31, 2025 and December 31, 2024, respectively.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125,167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122,419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870,000</w:t></w:r><w:r><w:rPr><w:rFonts w:ascii="Times New Roman" w:hAnsi="Times New Roman" w:eastAsia="Times New Roman" w:cs="Times New Roman"/><w:color w:val="000000"/><w:sz w:val="16"/><w:szCs w:val="16"/><w:shd w:val="clear" w:fill="cff0fc"/></w:rPr><w:t xml:space="preserve"> shares authorized at March 31, 2025 and December 31, 2024, respectively; </w:t></w:r><w:r><w:rPr><w:rFonts w:ascii="Times New Roman" w:hAnsi="Times New Roman" w:eastAsia="Times New Roman" w:cs="Times New Roman"/><w:color w:val="000000"/><w:sz w:val="16"/><w:szCs w:val="16"/><w:shd w:val="clear" w:fill="cff0fc"/></w:rPr><w:t xml:space="preserve">no</w:t></w:r><w:r><w:rPr><w:rFonts w:ascii="Times New Roman" w:hAnsi="Times New Roman" w:eastAsia="Times New Roman" w:cs="Times New Roman"/><w:color w:val="000000"/><w:sz w:val="16"/><w:szCs w:val="16"/><w:shd w:val="clear" w:fill="cff0fc"/></w:rPr><w:t xml:space="preserve">ne issued or outstanding</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127,582,084</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126,458,784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126,853,536</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125,730,236</w:t></w:r><w:r><w:rPr><w:rFonts w:ascii="Times New Roman" w:hAnsi="Times New Roman" w:eastAsia="Times New Roman" w:cs="Times New Roman"/><w:color w:val="000000"/><w:sz w:val="16"/><w:szCs w:val="16"/><w:shd w:val="clear" w:fill="ffffff"/></w:rPr><w:t xml:space="preserve"> shares outstanding at March 31, 2025 and December 31, 2024,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58,953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40,110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redeemable convertible preferred stock,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467,394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7650" w:type="dxa"/><w:gridCol w:w="2200" w:type="dxa"/><w:gridCol w:w="50" w:type="dxa"/><w:gridCol w:w="34150" w:type="dxa"/><w:gridCol w:w="50" w:type="dxa"/><w:gridCol w:w="2200" w:type="dxa"/><w:gridCol w:w="50" w:type="dxa"/><w:gridCol w:w="34150" w:type="dxa"/><w:gridCol w:w="50" w:type="dxa"/></w:tblGrid><w:tblPr><w:tblW w:w="0" w:type="pct"/><w:tblLayout w:type="autofit"/></w:tblPr><w:tr><w:trPr/><w:tc><w:tcPr><w:tcW w:w="37650" w:type="pct"/><w:noWrap/></w:tcPr><w:p><w:pPr/></w:p></w:tc><w:tc><w:tcPr><w:tcW w:w="2200" w:type="pct"/><w:noWrap/></w:tcPr><w:p><w:pPr/></w:p></w:tc><w:tc><w:tcPr><w:tcW w:w="50" w:type="pct"/><w:noWrap/></w:tcPr><w:p><w:pPr/></w:p></w:tc><w:tc><w:tcPr><w:tcW w:w="34150" w:type="pct"/><w:noWrap/></w:tcPr><w:p><w:pPr/></w:p></w:tc><w:tc><w:tcPr><w:tcW w:w="50" w:type="pct"/><w:noWrap/></w:tcPr><w:p><w:pPr/></w:p></w:tc><w:tc><w:tcPr><w:tcW w:w="2200" w:type="pct"/><w:noWrap/></w:tcPr><w:p><w:pPr/></w:p></w:tc><w:tc><w:tcPr><w:tcW w:w="50" w:type="pct"/><w:noWrap/></w:tcPr><w:p><w:pPr/></w:p></w:tc><w:tc><w:tcPr><w:tcW w:w="3415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23,723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28,696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62,970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81,280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72,509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72,322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10,640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12,810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89,716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85,132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26,746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3,852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Interest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514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other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491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25,783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6,940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2,243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Accretion of redeemable convertible preferred stock to redemption value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Cumulative dividend on redeemable convertible preferred stock</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2,627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loss attributable to common stockholders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21,591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 per share: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 and 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Weighted-average common shares outstanding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 and 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126,295,642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131,861,772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REDEEMABLE CONVERTIBLE PREFERRED STOCK AND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20300" w:type="dxa"/><w:gridCol w:w="50" w:type="dxa"/><w:gridCol w:w="48850" w:type="dxa"/><w:gridCol w:w="50" w:type="dxa"/><w:gridCol w:w="50" w:type="dxa"/><w:gridCol w:w="50" w:type="dxa"/><w:gridCol w:w="3900" w:type="dxa"/><w:gridCol w:w="50" w:type="dxa"/><w:gridCol w:w="50" w:type="dxa"/><w:gridCol w:w="50" w:type="dxa"/><w:gridCol w:w="50" w:type="dxa"/><w:gridCol w:w="48850" w:type="dxa"/><w:gridCol w:w="50" w:type="dxa"/><w:gridCol w:w="50" w:type="dxa"/><w:gridCol w:w="50" w:type="dxa"/><w:gridCol w:w="27850" w:type="dxa"/><w:gridCol w:w="50" w:type="dxa"/><w:gridCol w:w="50" w:type="dxa"/><w:gridCol w:w="50" w:type="dxa"/><w:gridCol w:w="40900" w:type="dxa"/><w:gridCol w:w="50" w:type="dxa"/><w:gridCol w:w="50" w:type="dxa"/><w:gridCol w:w="50" w:type="dxa"/><w:gridCol w:w="38900" w:type="dxa"/><w:gridCol w:w="50" w:type="dxa"/><w:gridCol w:w="50" w:type="dxa"/><w:gridCol w:w="50" w:type="dxa"/><w:gridCol w:w="20850" w:type="dxa"/><w:gridCol w:w="50" w:type="dxa"/></w:tblGrid><w:tblPr><w:tblW w:w="0" w:type="pct"/><w:tblLayout w:type="autofit"/></w:tblPr><w:tr><w:trPr/><w:tc><w:tcPr><w:tcW w:w="20300" w:type="pct"/><w:noWrap/></w:tcPr><w:p><w:pPr/></w:p></w:tc><w:tc><w:tcPr><w:tcW w:w="50" w:type="pct"/><w:noWrap/></w:tcPr><w:p><w:pPr/></w:p></w:tc><w:tc><w:tcPr><w:tcW w:w="4885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50" w:type="pct"/><w:noWrap/></w:tcPr><w:p><w:pPr/></w:p></w:tc><w:tc><w:tcPr><w:tcW w:w="48850" w:type="pct"/><w:noWrap/></w:tcPr><w:p><w:pPr/></w:p></w:tc><w:tc><w:tcPr><w:tcW w:w="50" w:type="pct"/><w:noWrap/></w:tcPr><w:p><w:pPr/></w:p></w:tc><w:tc><w:tcPr><w:tcW w:w="50" w:type="pct"/><w:noWrap/></w:tcPr><w:p><w:pPr/></w:p></w:tc><w:tc><w:tcPr><w:tcW w:w="50" w:type="pct"/><w:noWrap/></w:tcPr><w:p><w:pPr/></w:p></w:tc><w:tc><w:tcPr><w:tcW w:w="27850" w:type="pct"/><w:noWrap/></w:tcPr><w:p><w:pPr/></w:p></w:tc><w:tc><w:tcPr><w:tcW w:w="50" w:type="pct"/><w:noWrap/></w:tcPr><w:p><w:pPr/></w:p></w:tc><w:tc><w:tcPr><w:tcW w:w="50" w:type="pct"/><w:noWrap/></w:tcPr><w:p><w:pPr/></w:p></w:tc><w:tc><w:tcPr><w:tcW w:w="50" w:type="pct"/><w:noWrap/></w:tcPr><w:p><w:pPr/></w:p></w:tc><w:tc><w:tcPr><w:tcW w:w="40900" w:type="pct"/><w:noWrap/></w:tcPr><w:p><w:pPr/></w:p></w:tc><w:tc><w:tcPr><w:tcW w:w="50" w:type="pct"/><w:noWrap/></w:tcPr><w:p><w:pPr/></w:p></w:tc><w:tc><w:tcPr><w:tcW w:w="50" w:type="pct"/><w:noWrap/></w:tcPr><w:p><w:pPr/></w:p></w:tc><w:tc><w:tcPr><w:tcW w:w="50" w:type="pct"/><w:noWrap/></w:tcPr><w:p><w:pPr/></w:p></w:tc><w:tc><w:tcPr><w:tcW w:w="38900" w:type="pct"/><w:noWrap/></w:tcPr><w:p><w:pPr/></w:p></w:tc><w:tc><w:tcPr><w:tcW w:w="50" w:type="pct"/><w:noWrap/></w:tcPr><w:p><w:pPr/></w:p></w:tc><w:tc><w:tcPr><w:tcW w:w="50" w:type="pct"/><w:noWrap/></w:tcPr><w:p><w:pPr/></w:p></w:tc><w:tc><w:tcPr><w:tcW w:w="50" w:type="pct"/><w:noWrap/></w:tcPr><w:p><w:pPr/></w:p></w:tc><w:tc><w:tcPr><w:tcW w:w="20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122,419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125,730,236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40,110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1,103,284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March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58,953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20300" w:type="dxa"/><w:gridCol w:w="50" w:type="dxa"/><w:gridCol w:w="48850" w:type="dxa"/><w:gridCol w:w="50" w:type="dxa"/><w:gridCol w:w="50" w:type="dxa"/><w:gridCol w:w="50" w:type="dxa"/><w:gridCol w:w="3900" w:type="dxa"/><w:gridCol w:w="50" w:type="dxa"/><w:gridCol w:w="50" w:type="dxa"/><w:gridCol w:w="50" w:type="dxa"/><w:gridCol w:w="50" w:type="dxa"/><w:gridCol w:w="48850" w:type="dxa"/><w:gridCol w:w="50" w:type="dxa"/><w:gridCol w:w="50" w:type="dxa"/><w:gridCol w:w="50" w:type="dxa"/><w:gridCol w:w="27850" w:type="dxa"/><w:gridCol w:w="50" w:type="dxa"/><w:gridCol w:w="50" w:type="dxa"/><w:gridCol w:w="50" w:type="dxa"/><w:gridCol w:w="40900" w:type="dxa"/><w:gridCol w:w="50" w:type="dxa"/><w:gridCol w:w="50" w:type="dxa"/><w:gridCol w:w="50" w:type="dxa"/><w:gridCol w:w="38900" w:type="dxa"/><w:gridCol w:w="50" w:type="dxa"/><w:gridCol w:w="50" w:type="dxa"/><w:gridCol w:w="50" w:type="dxa"/><w:gridCol w:w="20850" w:type="dxa"/><w:gridCol w:w="50" w:type="dxa"/></w:tblGrid><w:tblPr><w:tblW w:w="0" w:type="pct"/><w:tblLayout w:type="autofit"/></w:tblPr><w:tr><w:trPr/><w:tc><w:tcPr><w:tcW w:w="20300" w:type="pct"/><w:noWrap/></w:tcPr><w:p><w:pPr/></w:p></w:tc><w:tc><w:tcPr><w:tcW w:w="50" w:type="pct"/><w:noWrap/></w:tcPr><w:p><w:pPr/></w:p></w:tc><w:tc><w:tcPr><w:tcW w:w="4885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50" w:type="pct"/><w:noWrap/></w:tcPr><w:p><w:pPr/></w:p></w:tc><w:tc><w:tcPr><w:tcW w:w="48850" w:type="pct"/><w:noWrap/></w:tcPr><w:p><w:pPr/></w:p></w:tc><w:tc><w:tcPr><w:tcW w:w="50" w:type="pct"/><w:noWrap/></w:tcPr><w:p><w:pPr/></w:p></w:tc><w:tc><w:tcPr><w:tcW w:w="50" w:type="pct"/><w:noWrap/></w:tcPr><w:p><w:pPr/></w:p></w:tc><w:tc><w:tcPr><w:tcW w:w="50" w:type="pct"/><w:noWrap/></w:tcPr><w:p><w:pPr/></w:p></w:tc><w:tc><w:tcPr><w:tcW w:w="27850" w:type="pct"/><w:noWrap/></w:tcPr><w:p><w:pPr/></w:p></w:tc><w:tc><w:tcPr><w:tcW w:w="50" w:type="pct"/><w:noWrap/></w:tcPr><w:p><w:pPr/></w:p></w:tc><w:tc><w:tcPr><w:tcW w:w="50" w:type="pct"/><w:noWrap/></w:tcPr><w:p><w:pPr/></w:p></w:tc><w:tc><w:tcPr><w:tcW w:w="50" w:type="pct"/><w:noWrap/></w:tcPr><w:p><w:pPr/></w:p></w:tc><w:tc><w:tcPr><w:tcW w:w="40900" w:type="pct"/><w:noWrap/></w:tcPr><w:p><w:pPr/></w:p></w:tc><w:tc><w:tcPr><w:tcW w:w="50" w:type="pct"/><w:noWrap/></w:tcPr><w:p><w:pPr/></w:p></w:tc><w:tc><w:tcPr><w:tcW w:w="50" w:type="pct"/><w:noWrap/></w:tcPr><w:p><w:pPr/></w:p></w:tc><w:tc><w:tcPr><w:tcW w:w="50" w:type="pct"/><w:noWrap/></w:tcPr><w:p><w:pPr/></w:p></w:tc><w:tc><w:tcPr><w:tcW w:w="38900" w:type="pct"/><w:noWrap/></w:tcPr><w:p><w:pPr/></w:p></w:tc><w:tc><w:tcPr><w:tcW w:w="50" w:type="pct"/><w:noWrap/></w:tcPr><w:p><w:pPr/></w:p></w:tc><w:tc><w:tcPr><w:tcW w:w="50" w:type="pct"/><w:noWrap/></w:tcPr><w:p><w:pPr/></w:p></w:tc><w:tc><w:tcPr><w:tcW w:w="50" w:type="pct"/><w:noWrap/></w:tcPr><w:p><w:pPr/></w:p></w:tc><w:tc><w:tcPr><w:tcW w:w="20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650" w:type="dxa"/><w:gridCol w:w="250" w:type="dxa"/><w:gridCol w:w="50" w:type="dxa"/><w:gridCol w:w="9150" w:type="dxa"/><w:gridCol w:w="50" w:type="dxa"/><w:gridCol w:w="250" w:type="dxa"/><w:gridCol w:w="50" w:type="dxa"/><w:gridCol w:w="9150" w:type="dxa"/><w:gridCol w:w="50" w:type="dxa"/></w:tblGrid><w:tblPr><w:tblW w:w="0" w:type="pct"/><w:tblLayout w:type="autofit"/></w:tblPr><w:tr><w:trPr/><w:tc><w:tcPr><w:tcW w:w="31650" w:type="pct"/><w:noWrap/></w:tcPr><w:p><w:pPr/></w:p></w:tc><w:tc><w:tcPr><w:tcW w:w="250" w:type="pct"/><w:noWrap/></w:tcPr><w:p><w:pPr/></w:p></w:tc><w:tc><w:tcPr><w:tcW w:w="50" w:type="pct"/><w:noWrap/></w:tcPr><w:p><w:pPr/></w:p></w:tc><w:tc><w:tcPr><w:tcW w:w="9150" w:type="pct"/><w:noWrap/></w:tcPr><w:p><w:pPr/></w:p></w:tc><w:tc><w:tcPr><w:tcW w:w="50" w:type="pct"/><w:noWrap/></w:tcPr><w:p><w:pPr/></w:p></w:tc><w:tc><w:tcPr><w:tcW w:w="250" w:type="pct"/><w:noWrap/></w:tcPr><w:p><w:pPr/></w:p></w:tc><w:tc><w:tcPr><w:tcW w:w="50" w:type="pct"/><w:noWrap/></w:tcPr><w:p><w:pPr/></w:p></w:tc><w:tc><w:tcPr><w:tcW w:w="9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Deferred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1,266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Provision recorded for credit losses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Loss on disposal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Adjustment for excess and obsolete 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2,515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Stock-based compensation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Write-down to fair value for asset held for sale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Changes in operating assets and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receivable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5,668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15,117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8,732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4,670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 and other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5,123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Operating leases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2,037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2,199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2,496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4,391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7,993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9,990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operating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19,935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10,162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3,626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2,222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3,626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2,222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term loan under the 2021 Credit Agreement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1,406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withholding taxes in connection with RSUs vesting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1,120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Proceeds from the exercise of stock options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Principal repayments of finance lease obligations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2,608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25,617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14,992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136,151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104,338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110,534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89,346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interest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1,375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income taxes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35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Accretion to redemption value and cumulative dividends on redeemable convertible preferred stock</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 included in accounts payable and accrued expenses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786</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Right-of-use assets obtained through operating lease obligations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701</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start"/><w:spacing w:before="120" w:after="0"/></w:pPr><w:r><w:rPr><w:rFonts w:ascii="Times New Roman" w:hAnsi="Times New Roman" w:eastAsia="Times New Roman" w:cs="Times New Roman"/><w:color w:val="000000"/><w:sz w:val="20"/><w:szCs w:val="20"/></w:rPr><w:t xml:space="preserve">                             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start"/><w:spacing w:before="12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and tissues innovations company focused on empowering healing through the development, manufacturing, and sale of products for the advanced wound care, and surgical and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2024, included in the Company’s annual report on Form 10-K for the fiscal year ended December 31, 2024, which was filed with the SEC on February 27, 2025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three months ended March 31, 2025 are not necessarily indicative of the results to be expected for the year ending December 31, 2025</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2024, and the notes thereto, which are included in the Annual Report. There have been no material changes to the significant accounting policies previously disclosed in the Annual Report other than the stock-based compensation and assets held for sale policies detailed below.</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preparation of consolidated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considers to be significant and that present the greatest amount of uncertainty include: recognition and measurement of current and deferred income tax assets and liabilities; and the assessment of recoverability of long-lived assets, including impairment and write-downs. Actual results and outcomes may differ significantly from those estimates and assumptions.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w:t></w:r></w:p><w:p><w:pPr><w:jc w:val="start"/><w:ind w:left="0" w:right="0" w:firstLine="0" w:hanging="0"/><w:spacing w:before="120" w:after="0"/></w:pPr><w:r><w:rPr><w:rFonts w:ascii="Times New Roman" w:hAnsi="Times New Roman" w:eastAsia="Times New Roman" w:cs="Times New Roman"/><w:color w:val="000000"/><w:sz w:val="20"/><w:szCs w:val="20"/></w:rPr><w:t xml:space="preserve">The Company measures stock-based awards granted to employees, non-employees, and directors based on the fair value of the awards on the date of grant and recognizes compensation expense for those awards over the requisite service period, which is generally the vesting period of the respective award. Prior to 2025, the Company only issued stock options, restricted stock units and restricted stock awards with service-based vesting conditions and recorded the expense for these awards using the straight-line method.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Beginning in 2025, the Company also began granting performance-based share awards to officers of the Company. As the outcome of each event has inherent risk and uncertainties, and a positive outcome may not be known until the event is achieved, the Company begins to recognize the value of the performance-based share awards when the Company determines the achievement of each performance condition is deemed probable, a determination which requires significant judgment by management. At the probable date, the Company records estimated cumulative expense to date, with remaining expense amortized over the remaining service period until achievement has occurred.</w:t></w:r></w:p><w:p><w:pPr><w:jc w:val="start"/><w:spacing w:before="240" w:after="0"/></w:pPr><w:r><w:rPr><w:rFonts w:ascii="Times New Roman" w:hAnsi="Times New Roman" w:eastAsia="Times New Roman" w:cs="Times New Roman"/><w:color w:val="000000"/><w:sz w:val="20"/><w:szCs w:val="20"/><w:b w:val="1"/><w:bCs w:val="1"/><w:i w:val="1"/><w:iCs w:val="1"/></w:rPr><w:t xml:space="preserve">Assets Held for Sale</w:t></w:r></w:p><w:p><w:pPr><w:jc w:val="start"/><w:ind w:left="0" w:right="0" w:firstLine="0" w:hanging="0"/><w:spacing w:before="120" w:after="0"/></w:pPr><w:r><w:rPr><w:rFonts w:ascii="Times New Roman" w:hAnsi="Times New Roman" w:eastAsia="Times New Roman" w:cs="Times New Roman"/><w:color w:val="000000"/><w:sz w:val="20"/><w:szCs w:val="20"/></w:rPr><w:t xml:space="preserve">The Company classifies assets held for sale based on specific criteria as outlined in FASB ASC Topic 360, Property, Plant & Equipment. Properties classified as real estate held for sale are recorded at the lower of their carrying value or their fair value, less costs to sell and are categorized on the balance sheet as current assets. Any properties classified as held for sale are not depreciated. Assets are generally classified as real estate held for sale once management has actively engaged in marketing the asset and the sale is expected to close within one year.</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Recently Issued Accounting Pronouncements Not Yet Adopted</w:t></w:r></w:p><w:p><w:pPr><w:jc w:val="start"/><w:ind w:left="0" w:right="0" w:firstLine="0" w:hanging="0"/><w:spacing w:before="240" w:after="12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The Company is currently evaluating the impact of adopting ASU 2023-09 on its consolidated financial statements and related disclosures.</w:t></w:r></w:p><w:p><w:pPr><w:jc w:val="start"/><w:ind w:left="0" w:right="0" w:firstLine="0" w:hanging="0"/><w:spacing w:before="0" w:after="0"/></w:pPr><w:r><w:rPr><w:rFonts w:ascii="Times New Roman" w:hAnsi="Times New Roman" w:eastAsia="Times New Roman" w:cs="Times New Roman"/><w:color w:val="000000"/><w:sz w:val="20"/><w:szCs w:val="20"/></w:rPr><w:t xml:space="preserve">In November 2024, the FASB issued ASU 2024-03, </w:t></w:r><w:r><w:rPr><w:rFonts w:ascii="Times New Roman" w:hAnsi="Times New Roman" w:eastAsia="Times New Roman" w:cs="Times New Roman"/><w:color w:val="000000"/><w:sz w:val="20"/><w:szCs w:val="20"/><w:i w:val="1"/><w:iCs w:val="1"/></w:rPr><w:t xml:space="preserve">Income Statement-Reporting Comprehensive Income-Expense Disaggregation Disclosures (Subtopic 220-40): Disaggregation of Income Statement Expenses</w:t></w:r><w:r><w:rPr><w:rFonts w:ascii="Times New Roman" w:hAnsi="Times New Roman" w:eastAsia="Times New Roman" w:cs="Times New Roman"/><w:color w:val="000000"/><w:sz w:val="20"/><w:szCs w:val="20"/></w:rPr><w:t xml:space="preserve">. This standard requires entities to provide additional disclosure regarding certain expenses presented within the statements of operations, and aims to improve such disclosures and address requests from investors for more detailed information about the types of expenses incurred by public entities. The standard is effective for annual periods beginning after December 15, 2026, and interim periods beginning after December 15, 2027, with early adoption permitted. The Company is currently evaluating the impact of the adoption of ASU 2024-03 on its consolidated financial statements and related disclosures.</w:t></w:r></w:p><w:p><w:pPr><w:jc w:val="start"/><w:spacing w:before="120" w:after="0"/></w:pPr><w:r><w:rPr><w:rFonts w:ascii="Times New Roman" w:hAnsi="Times New Roman" w:eastAsia="Times New Roman" w:cs="Times New Roman"/><w:color w:val="000000"/><w:sz w:val="20"/><w:szCs w:val="20"/><w:b w:val="1"/><w:bCs w:val="1"/></w:rPr><w:t xml:space="preserve">3. Revenue from Contracts with Customers</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1100" w:type="dxa"/><w:gridCol w:w="2600" w:type="dxa"/><w:gridCol w:w="50" w:type="dxa"/><w:gridCol w:w="47000000000000050" w:type="dxa"/><w:gridCol w:w="50" w:type="dxa"/><w:gridCol w:w="1900" w:type="dxa"/><w:gridCol w:w="50" w:type="dxa"/><w:gridCol w:w="47000000000000050" w:type="dxa"/><w:gridCol w:w="50" w:type="dxa"/></w:tblGrid><w:tblPr><w:tblW w:w="0" w:type="pct"/><w:tblLayout w:type="autofit"/></w:tblPr><w:tr><w:trPr/><w:tc><w:tcPr><w:tcW w:w="1100" w:type="pct"/><w:noWrap/></w:tcPr><w:p><w:pPr/></w:p></w:tc><w:tc><w:tcPr><w:tcW w:w="2600" w:type="pct"/><w:noWrap/></w:tcPr><w:p><w:pPr/></w:p></w:tc><w:tc><w:tcPr><w:tcW w:w="50" w:type="pct"/><w:noWrap/></w:tcPr><w:p><w:pPr/></w:p></w:tc><w:tc><w:tcPr><w:tcW w:w="47000000000000050" w:type="pct"/><w:noWrap/></w:tcPr><w:p><w:pPr/></w:p></w:tc><w:tc><w:tcPr><w:tcW w:w="50" w:type="pct"/><w:noWrap/></w:tcPr><w:p><w:pPr/></w:p></w:tc><w:tc><w:tcPr><w:tcW w:w="1900" w:type="pct"/><w:noWrap/></w:tcPr><w:p><w:pPr/></w:p></w:tc><w:tc><w:tcPr><w:tcW w:w="50" w:type="pct"/><w:noWrap/></w:tcPr><w:p><w:pPr/></w:p></w:tc><w:tc><w:tcPr><w:tcW w:w="470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79,927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103,864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6,766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revenue.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For the three months ended March 31, 2025 and 2024, the Company recorded group purchasing organization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1,113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1,394</w:t></w:r><w:r><w:rPr><w:rFonts w:ascii="Times New Roman" w:hAnsi="Times New Roman" w:eastAsia="Times New Roman" w:cs="Times New Roman"/><w:color w:val="000000"/><w:sz w:val="20"/><w:szCs w:val="20"/></w:rPr><w:t xml:space="preserve">, respectively, as a direct reduction of revenue.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23650" w:type="dxa"/><w:gridCol w:w="2900" w:type="dxa"/><w:gridCol w:w="50" w:type="dxa"/><w:gridCol w:w="34150" w:type="dxa"/><w:gridCol w:w="50" w:type="dxa"/><w:gridCol w:w="2900" w:type="dxa"/><w:gridCol w:w="50" w:type="dxa"/><w:gridCol w:w="34150" w:type="dxa"/><w:gridCol w:w="50" w:type="dxa"/></w:tblGrid><w:tblPr><w:tblW w:w="0" w:type="pct"/><w:tblLayout w:type="autofit"/></w:tblPr><w:tr><w:trPr/><w:tc><w:tcPr><w:tcW w:w="23650" w:type="pct"/><w:noWrap/></w:tcPr><w:p><w:pPr/></w:p></w:tc><w:tc><w:tcPr><w:tcW w:w="2900" w:type="pct"/><w:noWrap/></w:tcPr><w:p><w:pPr/></w:p></w:tc><w:tc><w:tcPr><w:tcW w:w="50" w:type="pct"/><w:noWrap/></w:tcPr><w:p><w:pPr/></w:p></w:tc><w:tc><w:tcPr><w:tcW w:w="34150" w:type="pct"/><w:noWrap/></w:tcPr><w:p><w:pPr/></w:p></w:tc><w:tc><w:tcPr><w:tcW w:w="50" w:type="pct"/><w:noWrap/></w:tcPr><w:p><w:pPr/></w:p></w:tc><w:tc><w:tcPr><w:tcW w:w="2900" w:type="pct"/><w:noWrap/></w:tcPr><w:p><w:pPr/></w:p></w:tc><w:tc><w:tcPr><w:tcW w:w="50" w:type="pct"/><w:noWrap/></w:tcPr><w:p><w:pPr/></w:p></w:tc><w:tc><w:tcPr><w:tcW w:w="34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112,388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119,437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9,068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9,576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103,320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100" w:type="dxa"/><w:gridCol w:w="50" w:type="dxa"/><w:gridCol w:w="50" w:type="dxa"/><w:gridCol w:w="39999999999999850" w:type="dxa"/><w:gridCol w:w="50" w:type="dxa"/><w:gridCol w:w="50" w:type="dxa"/><w:gridCol w:w="50" w:type="dxa"/><w:gridCol w:w="39999999999999850" w:type="dxa"/><w:gridCol w:w="50" w:type="dxa"/></w:tblGrid><w:tblPr><w:tblW w:w="0" w:type="pct"/><w:tblLayout w:type="autofit"/></w:tblPr><w:tr><w:trPr/><w:tc><w:tcPr><w:tcW w:w="100" w:type="pct"/><w:noWrap/></w:tcPr><w:p><w:pPr/></w:p></w:tc><w:tc><w:tcPr><w:tcW w:w="50" w:type="pct"/><w:noWrap/></w:tcPr><w:p><w:pPr/></w:p></w:tc><w:tc><w:tcPr><w:tcW w:w="50" w:type="pct"/><w:noWrap/></w:tcPr><w:p><w:pPr/></w:p></w:tc><w:tc><w:tcPr><w:tcW w:w="39999999999999850" w:type="pct"/><w:noWrap/></w:tcPr><w:p><w:pPr/></w:p></w:tc><w:tc><w:tcPr><w:tcW w:w="50" w:type="pct"/><w:noWrap/></w:tcPr><w:p><w:pPr/></w:p></w:tc><w:tc><w:tcPr><w:tcW w:w="50" w:type="pct"/><w:noWrap/></w:tcPr><w:p><w:pPr/></w:p></w:tc><w:tc><w:tcPr><w:tcW w:w="50" w:type="pct"/><w:noWrap/></w:tcPr><w:p><w:pPr/></w:p></w:tc><w:tc><w:tcPr><w:tcW w:w="39999999999999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Additions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Write-offs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1,383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356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Recoveries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end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600" w:type="dxa"/><w:gridCol w:w="3200" w:type="dxa"/><w:gridCol w:w="50" w:type="dxa"/><w:gridCol w:w="400" w:type="dxa"/><w:gridCol w:w="50" w:type="dxa"/><w:gridCol w:w="3200" w:type="dxa"/><w:gridCol w:w="50" w:type="dxa"/><w:gridCol w:w="400" w:type="dxa"/><w:gridCol w:w="50" w:type="dxa"/></w:tblGrid><w:tblPr><w:tblW w:w="0" w:type="pct"/><w:tblLayout w:type="autofit"/></w:tblPr><w:tr><w:trPr/><w:tc><w:tcPr><w:tcW w:w="600" w:type="pct"/><w:noWrap/></w:tcPr><w:p><w:pPr/></w:p></w:tc><w:tc><w:tcPr><w:tcW w:w="3200" w:type="pct"/><w:noWrap/></w:tcPr><w:p><w:pPr/></w:p></w:tc><w:tc><w:tcPr><w:tcW w:w="50" w:type="pct"/><w:noWrap/></w:tcPr><w:p><w:pPr/></w:p></w:tc><w:tc><w:tcPr><w:tcW w:w="400" w:type="pct"/><w:noWrap/></w:tcPr><w:p><w:pPr/></w:p></w:tc><w:tc><w:tcPr><w:tcW w:w="50" w:type="pct"/><w:noWrap/></w:tcPr><w:p><w:pPr/></w:p></w:tc><w:tc><w:tcPr><w:tcW w:w="3200" w:type="pct"/><w:noWrap/></w:tcPr><w:p><w:pPr/></w:p></w:tc><w:tc><w:tcPr><w:tcW w:w="50" w:type="pct"/><w:noWrap/></w:tcPr><w:p><w:pPr/></w:p></w:tc><w:tc><w:tcPr><w:tcW w:w="4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13,890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13,252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837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14,611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12,044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29,338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26,219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historical sales as compared to inventory level, and working with operations to maximize recovery of excess inventory. During the three months ended March 31, 2025 and 2024,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3,709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2,515</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600" w:type="dxa"/><w:gridCol w:w="3200" w:type="dxa"/><w:gridCol w:w="50" w:type="dxa"/><w:gridCol w:w="400" w:type="dxa"/><w:gridCol w:w="50" w:type="dxa"/><w:gridCol w:w="3200" w:type="dxa"/><w:gridCol w:w="50" w:type="dxa"/><w:gridCol w:w="400" w:type="dxa"/><w:gridCol w:w="50" w:type="dxa"/></w:tblGrid><w:tblPr><w:tblW w:w="0" w:type="pct"/><w:tblLayout w:type="autofit"/></w:tblPr><w:tr><w:trPr/><w:tc><w:tcPr><w:tcW w:w="600" w:type="pct"/><w:noWrap/></w:tcPr><w:p><w:pPr/></w:p></w:tc><w:tc><w:tcPr><w:tcW w:w="3200" w:type="pct"/><w:noWrap/></w:tcPr><w:p><w:pPr/></w:p></w:tc><w:tc><w:tcPr><w:tcW w:w="50" w:type="pct"/><w:noWrap/></w:tcPr><w:p><w:pPr/></w:p></w:tc><w:tc><w:tcPr><w:tcW w:w="400" w:type="pct"/><w:noWrap/></w:tcPr><w:p><w:pPr/></w:p></w:tc><w:tc><w:tcPr><w:tcW w:w="50" w:type="pct"/><w:noWrap/></w:tcPr><w:p><w:pPr/></w:p></w:tc><w:tc><w:tcPr><w:tcW w:w="3200" w:type="pct"/><w:noWrap/></w:tcPr><w:p><w:pPr/></w:p></w:tc><w:tc><w:tcPr><w:tcW w:w="50" w:type="pct"/><w:noWrap/></w:tcPr><w:p><w:pPr/></w:p></w:tc><w:tc><w:tcPr><w:tcW w:w="4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Leasehold improvements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63,683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63,342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Buildings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13,600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64,440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63,248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128,123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140,190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 and 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76,369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72,949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23,764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21,887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75,518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89,128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Depreciation and amortization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3,444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3,072</w:t></w:r><w:r><w:rPr><w:rFonts w:ascii="Times New Roman" w:hAnsi="Times New Roman" w:eastAsia="Times New Roman" w:cs="Times New Roman"/><w:color w:val="000000"/><w:sz w:val="20"/><w:szCs w:val="20"/></w:rPr><w:t xml:space="preserve"> for the three months ended March 31, 2025 and 2024, respectively.</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decided to pursue the potential sale of a purchased building, located on the Company’s Canton, Massac</w:t></w:r><w:r><w:rPr><w:rFonts w:ascii="Times New Roman" w:hAnsi="Times New Roman" w:eastAsia="Times New Roman" w:cs="Times New Roman"/><w:color w:val="000000"/><w:sz w:val="20"/><w:szCs w:val="20"/></w:rPr><w:t xml:space="preserve">husetts </w:t></w:r><w:r><w:rPr><w:rFonts w:ascii="Times New Roman" w:hAnsi="Times New Roman" w:eastAsia="Times New Roman" w:cs="Times New Roman"/><w:color w:val="000000"/><w:sz w:val="20"/><w:szCs w:val="20"/></w:rPr><w:t xml:space="preserve">campus, on which it had previously paused construction work. The Company identified this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change </w:t></w:r><w:r><w:rPr><w:rFonts w:ascii="Times New Roman" w:hAnsi="Times New Roman" w:eastAsia="Times New Roman" w:cs="Times New Roman"/><w:color w:val="000000"/><w:sz w:val="20"/><w:szCs w:val="20"/></w:rPr><w:t xml:space="preserve">in expectation regarding the use of the building as an impairment indicator. The Company determined the asset group to be comprised of the building and associated construction, and performed the impairment assessment at the asset group level. The Company determined the impairment charge by comparing the fair value of the asset group to its book value and recorded an impairment charge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related to the building and associated unfinished construction work, allocated to each asset class within the asset group based on i</w:t></w:r><w:r><w:rPr><w:rFonts w:ascii="Times New Roman" w:hAnsi="Times New Roman" w:eastAsia="Times New Roman" w:cs="Times New Roman"/><w:color w:val="000000"/><w:sz w:val="20"/><w:szCs w:val="20"/></w:rPr><w:t xml:space="preserve">ts relative carrying value. 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determined that the factors above constituted an impairment trigger relating to its remaining company-wide asset group. The Company performed a recoverability test in accordance with ASC 360, Property, Plant and Equipment. The estimated undiscounted cash flows directly attributable to the asset group exceeded its carrying value, and accordingly the Company did not record any impairment related to this asset group.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company-wide asset group during the </w:t></w:r><w:r><w:rPr><w:rFonts w:ascii="Times New Roman" w:hAnsi="Times New Roman" w:eastAsia="Times New Roman" w:cs="Times New Roman"/><w:color w:val="000000"/><w:sz w:val="20"/><w:szCs w:val="20"/></w:rPr><w:t xml:space="preserve">three months ended March 31, 2025 and 2024.</w:t></w:r></w:p><w:p><w:pPr><w:jc w:val="start"/><w:ind w:left="0" w:right="0" w:firstLine="0" w:hanging="0"/><w:spacing w:before="120" w:after="0"/></w:pPr><w:r><w:rPr><w:rFonts w:ascii="Times New Roman" w:hAnsi="Times New Roman" w:eastAsia="Times New Roman" w:cs="Times New Roman"/><w:color w:val="000000"/><w:sz w:val="20"/><w:szCs w:val="20"/></w:rPr><w:t xml:space="preserve">During the first quarter of 2025, the Company listed the property for sale and intends to complete the sale of these assets, which are separately presented in the Company’s condensed consolidated balance sheets, within twelve months. At such time, the Company recognized a $</w:t></w:r><w:r><w:rPr><w:rFonts w:ascii="Times New Roman" w:hAnsi="Times New Roman" w:eastAsia="Times New Roman" w:cs="Times New Roman"/><w:color w:val="000000"/><w:sz w:val="20"/><w:szCs w:val="20"/></w:rPr><w:t xml:space="preserve">6,567</w:t></w:r><w:r><w:rPr><w:rFonts w:ascii="Times New Roman" w:hAnsi="Times New Roman" w:eastAsia="Times New Roman" w:cs="Times New Roman"/><w:color w:val="000000"/><w:sz w:val="20"/><w:szCs w:val="20"/></w:rPr><w:t xml:space="preserve"> write down to adjust the carrying value of the building held for sale to its estimated fair market value based on observable market conditions, net of the estimated costs to sell on the condensed consolidated statements of operations and comprehensive loss as of</w:t></w:r><w:r><w:rPr><w:rFonts w:ascii="Times New Roman" w:hAnsi="Times New Roman" w:eastAsia="Times New Roman" w:cs="Times New Roman"/><w:color w:val="000000"/><w:sz w:val="20"/><w:szCs w:val="20"/></w:rPr><w:t xml:space="preserve"> March 31, 2025</w:t></w:r><w:r><w:rPr><w:rFonts w:ascii="Times New Roman" w:hAnsi="Times New Roman" w:eastAsia="Times New Roman" w:cs="Times New Roman"/><w:color w:val="000000"/><w:sz w:val="20"/><w:szCs w:val="20"/></w:rPr><w:t xml:space="preserve">. Management has determined that the planned sale does not represent a strategic shift having a major effect on the Company’s operations and financial results and therefore does not meet the criteria for classification as discontinued operations in the first quarter of 2025.</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March 31, 2025 and December 31, 2024</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months ended March 31, 2025 and 2024.</w:t></w:r></w:p><w:p><w:pPr><w:jc w:val="start"/><w:ind w:left="0" w:right="0" w:firstLine="0" w:hanging="0"/><w:spacing w:before="120" w:after="0"/></w:pPr><w:r><w:rPr><w:rFonts w:ascii="Times New Roman" w:hAnsi="Times New Roman" w:eastAsia="Times New Roman" w:cs="Times New Roman"/><w:color w:val="000000"/><w:sz w:val="20"/><w:szCs w:val="20"/></w:rPr><w:t xml:space="preserve">Identifiable intangible assets consisted</w:t></w:r><w:r><w:rPr><w:rFonts w:ascii="Times New Roman" w:hAnsi="Times New Roman" w:eastAsia="Times New Roman" w:cs="Times New Roman"/><w:color w:val="000000"/><w:sz w:val="20"/><w:szCs w:val="20"/></w:rPr><w:t xml:space="preserve"> of the following as of March 31,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00" w:type="dxa"/><w:gridCol w:w="200" w:type="dxa"/><w:gridCol w:w="50" w:type="dxa"/><w:gridCol w:w="4600" w:type="dxa"/><w:gridCol w:w="50" w:type="dxa"/><w:gridCol w:w="1400" w:type="dxa"/><w:gridCol w:w="50" w:type="dxa"/><w:gridCol w:w="4600" w:type="dxa"/><w:gridCol w:w="50" w:type="dxa"/><w:gridCol w:w="1400" w:type="dxa"/><w:gridCol w:w="50" w:type="dxa"/><w:gridCol w:w="4600" w:type="dxa"/><w:gridCol w:w="50" w:type="dxa"/></w:tblGrid><w:tblPr><w:tblW w:w="0" w:type="pct"/><w:tblLayout w:type="autofit"/></w:tblPr><w:tr><w:trPr/><w:tc><w:tcPr><w:tcW w:w="1400" w:type="pct"/><w:noWrap/></w:tcPr><w:p><w:pPr/></w:p></w:tc><w:tc><w:tcPr><w:tcW w:w="200" w:type="pct"/><w:noWrap/></w:tcPr><w:p><w:pPr/></w:p></w:tc><w:tc><w:tcPr><w:tcW w:w="50" w:type="pct"/><w:noWrap/></w:tcPr><w:p><w:pPr/></w:p></w:tc><w:tc><w:tcPr><w:tcW w:w="4600" w:type="pct"/><w:noWrap/></w:tcPr><w:p><w:pPr/></w:p></w:tc><w:tc><w:tcPr><w:tcW w:w="50" w:type="pct"/><w:noWrap/></w:tcPr><w:p><w:pPr/></w:p></w:tc><w:tc><w:tcPr><w:tcW w:w="1400" w:type="pct"/><w:noWrap/></w:tcPr><w:p><w:pPr/></w:p></w:tc><w:tc><w:tcPr><w:tcW w:w="50" w:type="pct"/><w:noWrap/></w:tcPr><w:p><w:pPr/></w:p></w:tc><w:tc><w:tcPr><w:tcW w:w="4600" w:type="pct"/><w:noWrap/></w:tcPr><w:p><w:pPr/></w:p></w:tc><w:tc><w:tcPr><w:tcW w:w="50" w:type="pct"/><w:noWrap/></w:tcPr><w:p><w:pPr/></w:p></w:tc><w:tc><w:tcPr><w:tcW w:w="1400" w:type="pct"/><w:noWrap/></w:tcPr><w:p><w:pPr/></w:p></w:tc><w:tc><w:tcPr><w:tcW w:w="50" w:type="pct"/><w:noWrap/></w:tcPr><w:p><w:pPr/></w:p></w:tc><w:tc><w:tcPr><w:tcW w:w="46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27,212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5,408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4,855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1,766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314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941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46,897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11,626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Identifiable intangible assets consisted of the following as of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900" w:type="dxa"/><w:gridCol w:w="6800" w:type="dxa"/><w:gridCol w:w="50" w:type="dxa"/><w:gridCol w:w="1900" w:type="dxa"/><w:gridCol w:w="50" w:type="dxa"/><w:gridCol w:w="6800" w:type="dxa"/><w:gridCol w:w="50" w:type="dxa"/><w:gridCol w:w="42800" w:type="dxa"/><w:gridCol w:w="50" w:type="dxa"/><w:gridCol w:w="6800" w:type="dxa"/><w:gridCol w:w="50" w:type="dxa"/><w:gridCol w:w="20050" w:type="dxa"/><w:gridCol w:w="50" w:type="dxa"/></w:tblGrid><w:tblPr><w:tblW w:w="0" w:type="pct"/><w:tblLayout w:type="autofit"/></w:tblPr><w:tr><w:trPr/><w:tc><w:tcPr><w:tcW w:w="14900" w:type="pct"/><w:noWrap/></w:tcPr><w:p><w:pPr/></w:p></w:tc><w:tc><w:tcPr><w:tcW w:w="6800" w:type="pct"/><w:noWrap/></w:tcPr><w:p><w:pPr/></w:p></w:tc><w:tc><w:tcPr><w:tcW w:w="50" w:type="pct"/><w:noWrap/></w:tcPr><w:p><w:pPr/></w:p></w:tc><w:tc><w:tcPr><w:tcW w:w="1900" w:type="pct"/><w:noWrap/></w:tcPr><w:p><w:pPr/></w:p></w:tc><w:tc><w:tcPr><w:tcW w:w="50" w:type="pct"/><w:noWrap/></w:tcPr><w:p><w:pPr/></w:p></w:tc><w:tc><w:tcPr><w:tcW w:w="6800" w:type="pct"/><w:noWrap/></w:tcPr><w:p><w:pPr/></w:p></w:tc><w:tc><w:tcPr><w:tcW w:w="50" w:type="pct"/><w:noWrap/></w:tcPr><w:p><w:pPr/></w:p></w:tc><w:tc><w:tcPr><w:tcW w:w="42800" w:type="pct"/><w:noWrap/></w:tcPr><w:p><w:pPr/></w:p></w:tc><w:tc><w:tcPr><w:tcW w:w="50" w:type="pct"/><w:noWrap/></w:tcPr><w:p><w:pPr/></w:p></w:tc><w:tc><w:tcPr><w:tcW w:w="6800" w:type="pct"/><w:noWrap/></w:tcPr><w:p><w:pPr/></w:p></w:tc><w:tc><w:tcPr><w:tcW w:w="50" w:type="pct"/><w:noWrap/></w:tcPr><w:p><w:pPr/></w:p></w:tc><w:tc><w:tcPr><w:tcW w:w="2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26,708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5,912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1,733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46,055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which reflects the pattern in which the economic benefits of the intangible assets are consumed,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842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901</w:t></w:r><w:r><w:rPr><w:rFonts w:ascii="Times New Roman" w:hAnsi="Times New Roman" w:eastAsia="Times New Roman" w:cs="Times New Roman"/><w:color w:val="000000"/><w:sz w:val="20"/><w:szCs w:val="20"/></w:rPr><w:t xml:space="preserve"> for the three months ended March 31, 2025 and 2024, respectively. The weighted average remaining useful lives for developed technology, trade names and trademarks, customer relationship, and non-compete agreements are </w:t></w:r><w:r><w:rPr><w:rFonts w:ascii="Times New Roman" w:hAnsi="Times New Roman" w:eastAsia="Times New Roman" w:cs="Times New Roman"/><w:color w:val="000000"/><w:sz w:val="20"/><w:szCs w:val="20"/></w:rPr><w:t xml:space="preserve">3.3</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3.3</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5.5</w:t></w:r><w:r><w:rPr><w:rFonts w:ascii="Times New Roman" w:hAnsi="Times New Roman" w:eastAsia="Times New Roman" w:cs="Times New Roman"/><w:color w:val="000000"/><w:sz w:val="20"/><w:szCs w:val="20"/></w:rPr><w:t xml:space="preserve"> years, and </w:t></w:r><w:r><w:rPr><w:rFonts w:ascii="Times New Roman" w:hAnsi="Times New Roman" w:eastAsia="Times New Roman" w:cs="Times New Roman"/><w:color w:val="000000"/><w:sz w:val="20"/><w:szCs w:val="20"/></w:rPr><w:t xml:space="preserve">0.5</w:t></w:r><w:r><w:rPr><w:rFonts w:ascii="Times New Roman" w:hAnsi="Times New Roman" w:eastAsia="Times New Roman" w:cs="Times New Roman"/><w:color w:val="000000"/><w:sz w:val="20"/><w:szCs w:val="20"/></w:rPr><w:t xml:space="preserve"> years, respectively, as of March 31, 2025</w:t></w:r><w:r><w:rPr><w:rFonts w:ascii="Times New Roman" w:hAnsi="Times New Roman" w:eastAsia="Times New Roman" w:cs="Times New Roman"/><w:color w:val="000000"/><w:sz w:val="20"/><w:szCs w:val="20"/></w:rPr><w:t xml:space="preserve">.</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8.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24,805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23,836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4,982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7,381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milestone payment (Note 15)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taxes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4,286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1,450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31,135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39,453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36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9. Long-Term Debt Obligations</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the Company, as borrower, its subsidiaries, as guarantors, and Silicon Valley Bank (</w:t></w:r><w:r><w:rPr><w:rFonts w:ascii="Times New Roman" w:hAnsi="Times New Roman" w:eastAsia="Times New Roman" w:cs="Times New Roman"/><w:color w:val="000000"/><w:sz w:val="20"/><w:szCs w:val="20"/></w:rPr><w:t xml:space="preserve">“SVB”),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In November 2024, the Company and the Lenders amended the 2021 Credit Agreement to allow for the issuance of the Convertible Preferred Stock, and to require the repayment of the Term Loan Facility within one business day of such issuance, among other terms (the “2024 Amendment”).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Company’s obligations to the Lenders are secured by substantially all of the Company’s assets, including intellectual property. Capitalized terms used herein and not otherwise defined are defined as set forth in the 2021 Credit Agreement, as amended by the 2024 Amendment.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the Company’s option. </w:t></w:r><w:r><w:rPr><w:rFonts w:ascii="Times New Roman" w:hAnsi="Times New Roman" w:eastAsia="Times New Roman" w:cs="Times New Roman"/><w:color w:val="000000"/><w:sz w:val="20"/><w:szCs w:val="20"/></w:rPr><w:t xml:space="preserve">For SOFR Loans, the interest rate was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w:t></w:r></w:p><w:p><w:pPr><w:jc w:val="start"/><w:ind w:left="0" w:right="0" w:firstLine="0" w:hanging="0"/><w:spacing w:before="240" w:after="0"/></w:pPr><w:r><w:rPr><w:rFonts w:ascii="Times New Roman" w:hAnsi="Times New Roman" w:eastAsia="Times New Roman" w:cs="Times New Roman"/><w:color w:val="000000"/><w:sz w:val="20"/><w:szCs w:val="20"/></w:rPr><w:t xml:space="preserve">The 2021 Credit Agreement required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rPr><w:t xml:space="preserve">469</w:t></w:r><w:r><w:rPr><w:rFonts w:ascii="Times New Roman" w:hAnsi="Times New Roman" w:eastAsia="Times New Roman" w:cs="Times New Roman"/><w:color w:val="000000"/><w:sz w:val="20"/><w:szCs w:val="20"/></w:rPr><w:t xml:space="preserve">; (b) from September 30, 2022 through and including June 30, 2023, $</w:t></w:r><w:r><w:rPr><w:rFonts w:ascii="Times New Roman" w:hAnsi="Times New Roman" w:eastAsia="Times New Roman" w:cs="Times New Roman"/><w:color w:val="000000"/><w:sz w:val="20"/><w:szCs w:val="20"/></w:rPr><w:t xml:space="preserve">938</w:t></w:r><w:r><w:rPr><w:rFonts w:ascii="Times New Roman" w:hAnsi="Times New Roman" w:eastAsia="Times New Roman" w:cs="Times New Roman"/><w:color w:val="000000"/><w:sz w:val="20"/><w:szCs w:val="20"/></w:rPr><w:t xml:space="preserve">; (c) from September 30, 2023 through and including June 30, 2025, $</w:t></w:r><w:r><w:rPr><w:rFonts w:ascii="Times New Roman" w:hAnsi="Times New Roman" w:eastAsia="Times New Roman" w:cs="Times New Roman"/><w:color w:val="000000"/><w:sz w:val="20"/><w:szCs w:val="20"/></w:rPr><w:t xml:space="preserve">1,406</w:t></w:r><w:r><w:rPr><w:rFonts w:ascii="Times New Roman" w:hAnsi="Times New Roman" w:eastAsia="Times New Roman" w:cs="Times New Roman"/><w:color w:val="000000"/><w:sz w:val="20"/><w:szCs w:val="2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rPr><w:t xml:space="preserve">1,875</w:t></w:r><w:r><w:rPr><w:rFonts w:ascii="Times New Roman" w:hAnsi="Times New Roman" w:eastAsia="Times New Roman" w:cs="Times New Roman"/><w:color w:val="000000"/><w:sz w:val="20"/><w:szCs w:val="20"/></w:rPr><w:t xml:space="preserve">. The Company prepaid the Term Loan Facility in November 2024, and amounts borrowed under the Term Loan Facility may not be re-borrowed.</w:t></w:r></w:p><w:p><w:pPr><w:jc w:val="start"/><w:ind w:left="0" w:right="0" w:firstLine="0" w:hanging="0"/><w:spacing w:before="24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the 2021 Credit Agreement, as amended by the 2024 Amendment,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w:t></w:r><w:r><w:rPr><w:rFonts w:ascii="Times New Roman" w:hAnsi="Times New Roman" w:eastAsia="Times New Roman" w:cs="Times New Roman"/><w:color w:val="000000"/><w:sz w:val="20"/><w:szCs w:val="20"/></w:rPr><w:t xml:space="preserve">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were recorded as a reduction of the carrying value of the Term Loan Facility on the accompanying condensed consolidated balance sheets and amortized to interest expense over the expected term of the Term Loan Facility. Upon repayment of the Term Loan Facility, the remaining balance of these debt issuance costs of $</w:t></w:r><w:r><w:rPr><w:rFonts w:ascii="Times New Roman" w:hAnsi="Times New Roman" w:eastAsia="Times New Roman" w:cs="Times New Roman"/><w:color w:val="000000"/><w:sz w:val="20"/><w:szCs w:val="20"/></w:rPr><w:t xml:space="preserve">215</w:t></w:r><w:r><w:rPr><w:rFonts w:ascii="Times New Roman" w:hAnsi="Times New Roman" w:eastAsia="Times New Roman" w:cs="Times New Roman"/><w:color w:val="000000"/><w:sz w:val="20"/><w:szCs w:val="20"/></w:rPr><w:t xml:space="preserve"> was recorded as a loss on debt extinguishment in the condensed consolidated statements of operations and comprehensive income and is included within selling, general and administrative expenses.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and are being amortized to interest expense through the maturity date of the Revolving Facility.</w:t></w:r></w:p><w:p><w:pPr><w:jc w:val="start"/><w:ind w:left="0" w:right="0" w:firstLine="0" w:hanging="0"/><w:spacing w:before="120" w:after="0"/></w:pPr><w:r><w:rPr><w:rFonts w:ascii="Times New Roman" w:hAnsi="Times New Roman" w:eastAsia="Times New Roman" w:cs="Times New Roman"/><w:color w:val="000000"/><w:sz w:val="20"/><w:szCs w:val="20"/></w:rPr><w:t xml:space="preserve">As of March 31, 2025 and December 31, 2024</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Term Loan Facility and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Revolving Facility with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available for future revolving borrowings.</w:t></w:r></w:p><w:p><w:pPr><w:jc w:val="start"/><w:spacing w:before="120" w:after="0"/></w:pPr><w:r><w:rPr><w:rFonts w:ascii="Times New Roman" w:hAnsi="Times New Roman" w:eastAsia="Times New Roman" w:cs="Times New Roman"/><w:color w:val="000000"/><w:sz w:val="20"/><w:szCs w:val="20"/><w:b w:val="1"/><w:bCs w:val="1"/></w:rPr><w:t xml:space="preserve">10. Convertible Preferred Stock</w:t></w:r></w:p><w:p><w:pPr><w:jc w:val="start"/><w:ind w:left="0" w:right="0" w:firstLine="0" w:hanging="0"/><w:spacing w:before="240" w:after="0"/></w:pPr><w:r><w:rPr><w:rFonts w:ascii="Times New Roman" w:hAnsi="Times New Roman" w:eastAsia="Times New Roman" w:cs="Times New Roman"/><w:color w:val="000000"/><w:sz w:val="20"/><w:szCs w:val="20"/></w:rPr><w:t xml:space="preserve">On November 12, 2024, the Company entered into a subscription agreement (the “Subscription Agreement”) with Avista Healthcare Partners III, L.P. (“Avista Onshore”) and AHP III Orchestra Holdings, L.P. (together with Avista Onshore, the “Investors”, and each an “Investor” and now related parties of the Company) pursuant to which the Investors purchased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shares of the Company’s newly-created Series A Convertible Preferred Stock, par value $</w:t></w:r><w:r><w:rPr><w:rFonts w:ascii="Times New Roman" w:hAnsi="Times New Roman" w:eastAsia="Times New Roman" w:cs="Times New Roman"/><w:color w:val="000000"/><w:sz w:val="20"/><w:szCs w:val="20"/></w:rPr><w:t xml:space="preserve">0.0001</w:t></w:r><w:r><w:rPr><w:rFonts w:ascii="Times New Roman" w:hAnsi="Times New Roman" w:eastAsia="Times New Roman" w:cs="Times New Roman"/><w:color w:val="000000"/><w:sz w:val="20"/><w:szCs w:val="20"/></w:rPr><w:t xml:space="preserve"> per share, for a purchase price of $</w:t></w:r><w:r><w:rPr><w:rFonts w:ascii="Times New Roman" w:hAnsi="Times New Roman" w:eastAsia="Times New Roman" w:cs="Times New Roman"/><w:color w:val="000000"/><w:sz w:val="20"/><w:szCs w:val="20"/></w:rPr><w:t xml:space="preserve">1,000</w:t></w:r><w:r><w:rPr><w:rFonts w:ascii="Times New Roman" w:hAnsi="Times New Roman" w:eastAsia="Times New Roman" w:cs="Times New Roman"/><w:color w:val="000000"/><w:sz w:val="20"/><w:szCs w:val="20"/></w:rPr><w:t xml:space="preserve"> per share, or aggregate gross proceeds of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to the Company, prior to deduction of commissions, fees and expenses (the “Offering”). The net proceeds will be used to fund strategic growth initiatives including, but not limited to, operating and commercial activities, clinical development programs, working capital, capital expenditures, debt repayment and for general corporate purposes. In addition, $</w:t></w:r><w:r><w:rPr><w:rFonts w:ascii="Times New Roman" w:hAnsi="Times New Roman" w:eastAsia="Times New Roman" w:cs="Times New Roman"/><w:color w:val="000000"/><w:sz w:val="20"/><w:szCs w:val="20"/></w:rPr><w:t xml:space="preserve">25,479</w:t></w:r><w:r><w:rPr><w:rFonts w:ascii="Times New Roman" w:hAnsi="Times New Roman" w:eastAsia="Times New Roman" w:cs="Times New Roman"/><w:color w:val="000000"/><w:sz w:val="20"/><w:szCs w:val="20"/></w:rPr><w:t xml:space="preserve"> of the net proceeds were used to fund the repurchase of an aggregate of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See Note 11, </w:t></w:r><w:r><w:rPr><w:rFonts w:ascii="Times New Roman" w:hAnsi="Times New Roman" w:eastAsia="Times New Roman" w:cs="Times New Roman"/><w:color w:val="000000"/><w:sz w:val="20"/><w:szCs w:val="20"/><w:i w:val="1"/><w:iCs w:val="1"/></w:rPr><w:t xml:space="preserve">Stockholders’ Equity</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Company recognizes changes in the redemption value of the Convertible Preferred Stock, which include accretion of the associated issuance costs and accrual of unpaid dividends using the effective interest method, over the period from the issuance date to the earliest redemption date, November 12, 2031. Any accrued but unpaid dividends will become part of the liquidation preference of the Convertible Preferred Stock, as set forth in the Certificate of Designation. As of March 31, 2025</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paid any dividends in cash, and all such dividends had been accrued and added to the liquidation preference of the Convertible Preferred Stock. During the </w:t></w:r><w:r><w:rPr><w:rFonts w:ascii="Times New Roman" w:hAnsi="Times New Roman" w:eastAsia="Times New Roman" w:cs="Times New Roman"/><w:color w:val="000000"/><w:sz w:val="20"/><w:szCs w:val="20"/></w:rPr><w:t xml:space="preserve">three months ended March 31, 2025</w:t></w:r><w:r><w:rPr><w:rFonts w:ascii="Times New Roman" w:hAnsi="Times New Roman" w:eastAsia="Times New Roman" w:cs="Times New Roman"/><w:color w:val="000000"/><w:sz w:val="20"/><w:szCs w:val="20"/></w:rPr><w:t xml:space="preserve">, the Company increased the carrying value of the Convertible Preferred Stock by $</w:t></w:r><w:r><w:rPr><w:rFonts w:ascii="Times New Roman" w:hAnsi="Times New Roman" w:eastAsia="Times New Roman" w:cs="Times New Roman"/><w:color w:val="000000"/><w:sz w:val="20"/><w:szCs w:val="20"/></w:rPr><w:t xml:space="preserve">2,748</w:t></w:r><w:r><w:rPr><w:rFonts w:ascii="Times New Roman" w:hAnsi="Times New Roman" w:eastAsia="Times New Roman" w:cs="Times New Roman"/><w:color w:val="000000"/><w:sz w:val="20"/><w:szCs w:val="20"/></w:rPr><w:t xml:space="preserve"> which resulted in a corresponding decrease to additional paid-in-capital during the same period.</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2025</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 The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repurchased in November 2024 pursuant to the Stock Repurchase Agreements and the Additional Stock Repurchase Agreement were retired and returned to authorized and unissued status.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 In June 2024, the 2018 Plan was amended to increase the number of shares of Class A common stock reserved for issuance by </w:t></w:r><w:r><w:rPr><w:rFonts w:ascii="Times New Roman" w:hAnsi="Times New Roman" w:eastAsia="Times New Roman" w:cs="Times New Roman"/><w:color w:val="000000"/><w:sz w:val="20"/><w:szCs w:val="20"/></w:rPr><w:t xml:space="preserve">15,900,000</w:t></w:r><w:r><w:rPr><w:rFonts w:ascii="Times New Roman" w:hAnsi="Times New Roman" w:eastAsia="Times New Roman" w:cs="Times New Roman"/><w:color w:val="000000"/><w:sz w:val="20"/><w:szCs w:val="20"/></w:rPr><w:t xml:space="preserve"> shares.</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3,367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2,407</w:t></w:r><w:r><w:rPr><w:rFonts w:ascii="Times New Roman" w:hAnsi="Times New Roman" w:eastAsia="Times New Roman" w:cs="Times New Roman"/><w:color w:val="000000"/><w:sz w:val="20"/><w:szCs w:val="20"/></w:rPr><w:t xml:space="preserve"> for the three months ended March 31, 2025 and 2024</w:t></w:r><w:r><w:rPr><w:rFonts w:ascii="Times New Roman" w:hAnsi="Times New Roman" w:eastAsia="Times New Roman" w:cs="Times New Roman"/><w:color w:val="000000"/><w:sz w:val="20"/><w:szCs w:val="20"/></w:rPr><w:t xml:space="preserve">, respectively, of which $</w:t></w:r><w:r><w:rPr><w:rFonts w:ascii="Times New Roman" w:hAnsi="Times New Roman" w:eastAsia="Times New Roman" w:cs="Times New Roman"/><w:color w:val="000000"/><w:sz w:val="20"/><w:szCs w:val="20"/></w:rPr><w:t xml:space="preserve">525</w:t></w:r><w:r><w:rPr><w:rFonts w:ascii="Times New Roman" w:hAnsi="Times New Roman" w:eastAsia="Times New Roman" w:cs="Times New Roman"/><w:color w:val="000000"/><w:sz w:val="20"/><w:szCs w:val="20"/></w:rPr><w:t xml:space="preserve"> related to performance-based share awards expensed during the</w:t></w:r><w:r><w:rPr><w:rFonts w:ascii="Times New Roman" w:hAnsi="Times New Roman" w:eastAsia="Times New Roman" w:cs="Times New Roman"/><w:color w:val="000000"/><w:sz w:val="24"/><w:szCs w:val="24"/></w:rPr><w:t xml:space="preserve"> </w:t></w:r><w:r><w:rPr><w:rFonts w:ascii="Times New Roman" w:hAnsi="Times New Roman" w:eastAsia="Times New Roman" w:cs="Times New Roman"/><w:color w:val="000000"/><w:sz w:val="20"/><w:szCs w:val="20"/></w:rPr><w:t xml:space="preserve">three months ended March 31, 2025. The total amount of stock-based compensation expense was included within selling, general and administrative expenses on the condensed consolidated statements of operations and comprehensive loss.</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1,853,844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1,766,615</w:t></w:r><w:r><w:rPr><w:rFonts w:ascii="Times New Roman" w:hAnsi="Times New Roman" w:eastAsia="Times New Roman" w:cs="Times New Roman"/><w:color w:val="000000"/><w:sz w:val="20"/><w:szCs w:val="20"/></w:rPr><w:t xml:space="preserve"> time-based restricted stock units to its employees, executives and members of the Board of Directors in the three months ended March 31, 2025 and 2024,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stock on the date of grant.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restricted stock un</w:t></w:r><w:r><w:rPr><w:rFonts w:ascii="Times New Roman" w:hAnsi="Times New Roman" w:eastAsia="Times New Roman" w:cs="Times New Roman"/><w:color w:val="000000"/><w:sz w:val="20"/><w:szCs w:val="2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4,529,330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1,853,844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1,582,670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3,478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3.74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March 31,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4,797,026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March 31, 2025,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5,952</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2.71</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Performance Share Units (PSUs)</w:t></w:r></w:p><w:p><w:pPr><w:jc w:val="start"/><w:ind w:left="0" w:right="0" w:firstLine="0" w:hanging="0"/><w:spacing w:before="120" w:after="0"/></w:pPr><w:r><w:rPr><w:rFonts w:ascii="Times New Roman" w:hAnsi="Times New Roman" w:eastAsia="Times New Roman" w:cs="Times New Roman"/><w:color w:val="000000"/><w:sz w:val="20"/><w:szCs w:val="20"/></w:rPr><w:t xml:space="preserve">In the three months ended March 31, 2025</w:t></w:r><w:r><w:rPr><w:rFonts w:ascii="Times New Roman" w:hAnsi="Times New Roman" w:eastAsia="Times New Roman" w:cs="Times New Roman"/><w:color w:val="000000"/><w:sz w:val="20"/><w:szCs w:val="20"/></w:rPr><w:t xml:space="preserve">, the Company granted performance share units (“PSUs”) as part of its stock-based compensation program. The PSUs vest annually based on the achievement of specific performance goals as set forth in the applicable award agreement. Based on the extent to which the performance goals are achieved, vested shares may range from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target award amount. If the performance conditions are not met or are not expected to be met, recognized compensation expense associated with the grant will be reversed. The fair value of each PSU granted is the closing stock price on the date of grant and the PSUs are subject to a one-year vesting period. However, performance targets are measured independently for the three year period, where each tranche is tied to distinct performance metrics established for the applicable year. In addition to interim annual targets, the awards include a catch up provision whereby if, at the end of the three-year period, the Company achieves a certain average annual revenue compounded growth rate the entire performance share award will vest, regardless of the interim target performance.</w:t></w:r></w:p><w:p><w:pPr><w:jc w:val="start"/><w:ind w:left="0" w:right="0" w:firstLine="0" w:hanging="0"/><w:spacing w:before="120" w:after="0"/></w:pPr><w:r><w:rPr><w:rFonts w:ascii="Times New Roman" w:hAnsi="Times New Roman" w:eastAsia="Times New Roman" w:cs="Times New Roman"/><w:color w:val="000000"/><w:sz w:val="20"/><w:szCs w:val="20"/></w:rPr><w:t xml:space="preserve">As of March 31, 2025</w:t></w:r><w:r><w:rPr><w:rFonts w:ascii="Times New Roman" w:hAnsi="Times New Roman" w:eastAsia="Times New Roman" w:cs="Times New Roman"/><w:color w:val="000000"/><w:sz w:val="20"/><w:szCs w:val="20"/></w:rPr><w:t xml:space="preserve">, the Company determined that the 2025 performance target was probable of being achieved. The Company granted </w:t></w:r><w:r><w:rPr><w:rFonts w:ascii="Times New Roman" w:hAnsi="Times New Roman" w:eastAsia="Times New Roman" w:cs="Times New Roman"/><w:color w:val="000000"/><w:sz w:val="20"/><w:szCs w:val="20"/></w:rPr><w:t xml:space="preserve">602,727</w:t></w:r><w:r><w:rPr><w:rFonts w:ascii="Times New Roman" w:hAnsi="Times New Roman" w:eastAsia="Times New Roman" w:cs="Times New Roman"/><w:color w:val="000000"/><w:sz w:val="20"/><w:szCs w:val="20"/></w:rPr><w:t xml:space="preserve"> PSUs to its executives in the three months ended March 31, 2025.</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PSUs</w:t></w:r><w:r><w:rPr><w:rFonts w:ascii="Times New Roman" w:hAnsi="Times New Roman" w:eastAsia="Times New Roman" w:cs="Times New Roman"/><w:color w:val="000000"/><w:sz w:val="20"/><w:szCs w:val="20"/></w:rPr><w:t xml:space="preserve"> is set forth below:</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Unvested at December 31, 2024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Granted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602,727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Vested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Canceled/forfeited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Unvested at March 31, 2025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602,727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March 31, 2025, the total unrecognized compensation cost related to unvested PSUs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1,603</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0.75</w:t></w:r><w:r><w:rPr><w:rFonts w:ascii="Times New Roman" w:hAnsi="Times New Roman" w:eastAsia="Times New Roman" w:cs="Times New Roman"/><w:color w:val="000000"/><w:sz w:val="20"/><w:szCs w:val="20"/></w:rPr><w:t xml:space="preserve"> years.</w:t></w:r></w:p><w:p><w:pPr><w:jc w:val="start"/><w:spacing w:before="360" w:after="12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three months ended March 31, 2025 and 2024 were </w:t></w:r><w:r><w:rPr><w:rFonts w:ascii="Times New Roman" w:hAnsi="Times New Roman" w:eastAsia="Times New Roman" w:cs="Times New Roman"/><w:color w:val="000000"/><w:sz w:val="20"/><w:szCs w:val="20"/></w:rPr><w:t xml:space="preserve">1,558,694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respectively.</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750" w:type="dxa"/><w:gridCol w:w="50" w:type="dxa"/><w:gridCol w:w="50" w:type="dxa"/><w:gridCol w:w="35100" w:type="dxa"/><w:gridCol w:w="50" w:type="dxa"/><w:gridCol w:w="100" w:type="dxa"/><w:gridCol w:w="50" w:type="dxa"/><w:gridCol w:w="39100" w:type="dxa"/><w:gridCol w:w="50" w:type="dxa"/><w:gridCol w:w="50" w:type="dxa"/><w:gridCol w:w="50" w:type="dxa"/><w:gridCol w:w="35100" w:type="dxa"/><w:gridCol w:w="50" w:type="dxa"/><w:gridCol w:w="100" w:type="dxa"/><w:gridCol w:w="50" w:type="dxa"/><w:gridCol w:w="11100000000000050" w:type="dxa"/><w:gridCol w:w="50" w:type="dxa"/></w:tblGrid><w:tblPr><w:tblW w:w="0" w:type="pct"/><w:tblLayout w:type="autofit"/></w:tblPr><w:tr><w:trPr/><w:tc><w:tcPr><w:tcW w:w="2750" w:type="pct"/><w:noWrap/></w:tcPr><w:p><w:pPr/></w:p></w:tc><w:tc><w:tcPr><w:tcW w:w="50" w:type="pct"/><w:noWrap/></w:tcPr><w:p><w:pPr/></w:p></w:tc><w:tc><w:tcPr><w:tcW w:w="50" w:type="pct"/><w:noWrap/></w:tcPr><w:p><w:pPr/></w:p></w:tc><w:tc><w:tcPr><w:tcW w:w="35100" w:type="pct"/><w:noWrap/></w:tcPr><w:p><w:pPr/></w:p></w:tc><w:tc><w:tcPr><w:tcW w:w="50" w:type="pct"/><w:noWrap/></w:tcPr><w:p><w:pPr/></w:p></w:tc><w:tc><w:tcPr><w:tcW w:w="100" w:type="pct"/><w:noWrap/></w:tcPr><w:p><w:pPr/></w:p></w:tc><w:tc><w:tcPr><w:tcW w:w="50" w:type="pct"/><w:noWrap/></w:tcPr><w:p><w:pPr/></w:p></w:tc><w:tc><w:tcPr><w:tcW w:w="39100" w:type="pct"/><w:noWrap/></w:tcPr><w:p><w:pPr/></w:p></w:tc><w:tc><w:tcPr><w:tcW w:w="50" w:type="pct"/><w:noWrap/></w:tcPr><w:p><w:pPr/></w:p></w:tc><w:tc><w:tcPr><w:tcW w:w="50" w:type="pct"/><w:noWrap/></w:tcPr><w:p><w:pPr/></w:p></w:tc><w:tc><w:tcPr><w:tcW w:w="50" w:type="pct"/><w:noWrap/></w:tcPr><w:p><w:pPr/></w:p></w:tc><w:tc><w:tcPr><w:tcW w:w="35100" w:type="pct"/><w:noWrap/></w:tcPr><w:p><w:pPr/></w:p></w:tc><w:tc><w:tcPr><w:tcW w:w="50" w:type="pct"/><w:noWrap/></w:tcPr><w:p><w:pPr/></w:p></w:tc><w:tc><w:tcPr><w:tcW w:w="100" w:type="pct"/><w:noWrap/></w:tcPr><w:p><w:pPr/></w:p></w:tc><w:tc><w:tcPr><w:tcW w:w="50" w:type="pct"/><w:noWrap/></w:tcPr><w:p><w:pPr/></w:p></w:tc><w:tc><w:tcPr><w:tcW w:w="11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December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10,563,880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1,558,694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20,016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19,409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March 31,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12,083,149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12,633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March 31, 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6,458,452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5,528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March 31,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11,038,141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11,321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three months ended March 31,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respectively. The total fair value of options vested during the three months ended March 31,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4,884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3,669</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March 31, 2025, the total unrecognized stock compensation expense related to unvested options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7,927</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2.65</w:t></w:r><w:r><w:rPr><w:rFonts w:ascii="Times New Roman" w:hAnsi="Times New Roman" w:eastAsia="Times New Roman" w:cs="Times New Roman"/><w:color w:val="000000"/><w:sz w:val="20"/><w:szCs w:val="20"/></w:rPr><w:t xml:space="preserve"> years.</w:t></w:r></w:p><w:p><w:pPr><w:jc w:val="start"/><w:spacing w:before="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Loss per Share</w:t></w:r></w:p><w:p><w:pPr><w:jc w:val="start"/><w:ind w:left="0" w:right="0" w:firstLine="0" w:hanging="0"/><w:spacing w:before="120" w:after="0"/></w:pPr><w:r><w:rPr><w:rFonts w:ascii="Times New Roman" w:hAnsi="Times New Roman" w:eastAsia="Times New Roman" w:cs="Times New Roman"/><w:color w:val="000000"/><w:sz w:val="20"/><w:szCs w:val="20"/></w:rPr><w:t xml:space="preserve">Basic earnings per share (“EPS”) is calculated by dividing net income (loss) by the weighted-average number of common shares outstanding during the period. Diluted EPS is calculated by dividing net income (loss) by the weighted-average number of common shares outstanding plus the dilutive effect, if any, of outstanding equity awards using the treasury stock method which includes consideration of unrecognized compensation expenses as additional proceeds.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Basic and diluted net loss attributable to the Class A common stockholders was calculated as follows:</w:t></w:r></w:p><w:p><w:pPr><w:jc w:val="start"/><w:ind w:left="0" w:right="0" w:firstLine="0" w:hanging="0"/><w:spacing w:before="120" w:after="0"/></w:pPr><w:r><w:rPr><w:rFonts w:ascii="Times New Roman" w:hAnsi="Times New Roman" w:eastAsia="Times New Roman" w:cs="Times New Roman"/><w:sz w:val="20"/><w:szCs w:val="20"/></w:rPr><w:t xml:space="preserve"> </w:t></w:r></w:p><w:tbl><w:tblGrid><w:gridCol w:w="1100" w:type="dxa"/><w:gridCol w:w="250" w:type="dxa"/><w:gridCol w:w="50" w:type="dxa"/><w:gridCol w:w="4800" w:type="dxa"/><w:gridCol w:w="50" w:type="dxa"/><w:gridCol w:w="1800" w:type="dxa"/><w:gridCol w:w="50" w:type="dxa"/><w:gridCol w:w="4800" w:type="dxa"/><w:gridCol w:w="50" w:type="dxa"/></w:tblGrid><w:tblPr><w:tblW w:w="0" w:type="pct"/><w:tblLayout w:type="autofit"/></w:tblPr><w:tr><w:trPr/><w:tc><w:tcPr><w:tcW w:w="1100" w:type="pct"/><w:noWrap/></w:tcPr><w:p><w:pPr/></w:p></w:tc><w:tc><w:tcPr><w:tcW w:w="250" w:type="pct"/><w:noWrap/></w:tcPr><w:p><w:pPr/></w:p></w:tc><w:tc><w:tcPr><w:tcW w:w="50" w:type="pct"/><w:noWrap/></w:tcPr><w:p><w:pPr/></w:p></w:tc><w:tc><w:tcPr><w:tcW w:w="4800" w:type="pct"/><w:noWrap/></w:tcPr><w:p><w:pPr/></w:p></w:tc><w:tc><w:tcPr><w:tcW w:w="50" w:type="pct"/><w:noWrap/></w:tcPr><w:p><w:pPr/></w:p></w:tc><w:tc><w:tcPr><w:tcW w:w="1800" w:type="pct"/><w:noWrap/></w:tcPr><w:p><w:pPr/></w:p></w:tc><w:tc><w:tcPr><w:tcW w:w="50" w:type="pct"/><w:noWrap/></w:tcPr><w:p><w:pPr/></w:p></w:tc><w:tc><w:tcPr><w:tcW w:w="48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18,843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2,100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Accretion of redeemable convertible preferred stock to redemption value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Cumulative dividend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2,627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loss attributable to common stockholders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21,591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2,100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Denominator: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Weighted-average common shares outstanding — basic and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126,295,642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131,861,772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per share—basic and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0.02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The Company’s potentially dilutive securities include restricted stock units and stock options to purchase shares of Class A common stock. As the Company had a net loss in the periods presented, the potentially dilutive securities have been excluded from the computation of diluted net loss per share as the effect would be anti-dilutive. Therefore, the weighted-average number of common shares outstanding used to calculate both basic and diluted net loss per share attributable to common stockholders is the same for these periods. For the three months ended March 31, 2025 and 2024, the Company excluded </w:t></w:r><w:r><w:rPr><w:rFonts w:ascii="Times New Roman" w:hAnsi="Times New Roman" w:eastAsia="Times New Roman" w:cs="Times New Roman"/><w:color w:val="000000"/><w:sz w:val="20"/><w:szCs w:val="20"/></w:rPr><w:t xml:space="preserve">4,641,295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1,542,861</w:t></w:r><w:r><w:rPr><w:rFonts w:ascii="Times New Roman" w:hAnsi="Times New Roman" w:eastAsia="Times New Roman" w:cs="Times New Roman"/><w:color w:val="000000"/><w:sz w:val="20"/><w:szCs w:val="20"/></w:rPr><w:t xml:space="preserve"> potential shares of Class A common stock, respectively, presented based on the diluted effects of options and restricted stock units outstanding at each period end, from the computation of diluted net loss per share attributable to the common stockholders for these periods. For the three months ended March 31, 2025 and 2024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25,358,022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shares of common stock available upon conversion of Convertible Preferred Stock, respectively, were excluded from the diluted EPS calculation as they were anti-dilutive.</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and/or stockholders of the Company. In August 2021, the Company purchased the 275 Dan Road property.</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entered into a lease for a facility in Smithfield, Rhode Island, comprising manufacturing and office space (the “Smithfield Facility”). The initial lease term is approximately </w:t></w:r><w:r><w:rPr><w:rFonts w:ascii="Times New Roman" w:hAnsi="Times New Roman" w:eastAsia="Times New Roman" w:cs="Times New Roman"/><w:color w:val="000000"/><w:sz w:val="20"/><w:szCs w:val="20"/></w:rPr><w:t xml:space="preserve">sixteen years</w:t></w:r><w:r><w:rPr><w:rFonts w:ascii="Times New Roman" w:hAnsi="Times New Roman" w:eastAsia="Times New Roman" w:cs="Times New Roman"/><w:color w:val="000000"/><w:sz w:val="20"/><w:szCs w:val="20"/></w:rPr><w:t xml:space="preserve">, with </w:t></w:r><w:r><w:rPr><w:rFonts w:ascii="Times New Roman" w:hAnsi="Times New Roman" w:eastAsia="Times New Roman" w:cs="Times New Roman"/><w:color w:val="000000"/><w:sz w:val="20"/><w:szCs w:val="20"/></w:rPr><w:t xml:space="preserve">two</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ten-year</w:t></w:r><w:r><w:rPr><w:rFonts w:ascii="Times New Roman" w:hAnsi="Times New Roman" w:eastAsia="Times New Roman" w:cs="Times New Roman"/><w:color w:val="000000"/><w:sz w:val="20"/><w:szCs w:val="20"/></w:rPr><w:t xml:space="preserve"> renewal options, not considered probable of exercise at lease inception, and a right of first offer to purchase the Smithfield Facility in the event that its owner markets it for sale. The undiscounted minimum lease payments are $</w:t></w:r><w:r><w:rPr><w:rFonts w:ascii="Times New Roman" w:hAnsi="Times New Roman" w:eastAsia="Times New Roman" w:cs="Times New Roman"/><w:color w:val="000000"/><w:sz w:val="20"/><w:szCs w:val="20"/></w:rPr><w:t xml:space="preserve">102,645</w:t></w:r><w:r><w:rPr><w:rFonts w:ascii="Times New Roman" w:hAnsi="Times New Roman" w:eastAsia="Times New Roman" w:cs="Times New Roman"/><w:color w:val="000000"/><w:sz w:val="20"/><w:szCs w:val="20"/></w:rPr><w:t xml:space="preserve">, and the Company is entitled to a tenant improvement allowance of up to $</w:t></w:r><w:r><w:rPr><w:rFonts w:ascii="Times New Roman" w:hAnsi="Times New Roman" w:eastAsia="Times New Roman" w:cs="Times New Roman"/><w:color w:val="000000"/><w:sz w:val="20"/><w:szCs w:val="20"/></w:rPr><w:t xml:space="preserve">18,376</w:t></w:r><w:r><w:rPr><w:rFonts w:ascii="Times New Roman" w:hAnsi="Times New Roman" w:eastAsia="Times New Roman" w:cs="Times New Roman"/><w:color w:val="000000"/><w:sz w:val="20"/><w:szCs w:val="20"/></w:rPr><w:t xml:space="preserve"> for its planned build out of the manufacturing space, expected to be completed in fiscal 2027. The lease of the office space commenced at lease inception, and in connection therewith, the Company recorded a right-of-use asset and associated lease liability of $</w:t></w:r><w:r><w:rPr><w:rFonts w:ascii="Times New Roman" w:hAnsi="Times New Roman" w:eastAsia="Times New Roman" w:cs="Times New Roman"/><w:color w:val="000000"/><w:sz w:val="20"/><w:szCs w:val="20"/></w:rPr><w:t xml:space="preserve">3,425</w:t></w:r><w:r><w:rPr><w:rFonts w:ascii="Times New Roman" w:hAnsi="Times New Roman" w:eastAsia="Times New Roman" w:cs="Times New Roman"/><w:color w:val="000000"/><w:sz w:val="20"/><w:szCs w:val="20"/></w:rPr><w:t xml:space="preserve">. On April 29, 2025, the Company entered into definitive agreements related to certain state and local tax incentives for its Smithfield Facility and, as a result, the Company no longer has the unilateral right to terminate the lease for a payment to the landlord of $</w:t></w:r><w:r><w:rPr><w:rFonts w:ascii="Times New Roman" w:hAnsi="Times New Roman" w:eastAsia="Times New Roman" w:cs="Times New Roman"/><w:color w:val="000000"/><w:sz w:val="20"/><w:szCs w:val="20"/></w:rPr><w:t xml:space="preserve">1,250</w:t></w:r><w:r><w:rPr><w:rFonts w:ascii="Times New Roman" w:hAnsi="Times New Roman" w:eastAsia="Times New Roman" w:cs="Times New Roman"/><w:color w:val="000000"/><w:sz w:val="20"/><w:szCs w:val="20"/></w:rPr><w:t xml:space="preserve">.</w:t></w:r></w:p><w:p><w:pPr><w:jc w:val="start"/><w:spacing w:before="120" w:after="0"/></w:pPr><w:r><w:rPr><w:rFonts w:ascii="Times New Roman" w:hAnsi="Times New Roman" w:eastAsia="Times New Roman" w:cs="Times New Roman"/><w:color w:val="000000"/><w:sz w:val="20"/><w:szCs w:val="20"/><w:b w:val="1"/><w:bCs w:val="1"/></w:rPr><w:t xml:space="preserve">14. Segment Information</w:t></w:r></w:p><w:p><w:pPr><w:jc w:val="start"/><w:ind w:left="0" w:right="0" w:firstLine="0" w:hanging="0"/><w:spacing w:before="120" w:after="0"/></w:pPr><w:r><w:rPr><w:rFonts w:ascii="Times New Roman" w:hAnsi="Times New Roman" w:eastAsia="Times New Roman" w:cs="Times New Roman"/><w:color w:val="000000"/><w:sz w:val="20"/><w:szCs w:val="20"/></w:rPr><w:t xml:space="preserve">The Company offers a comprehensive portfolio of regenerative medicine products. The Company organizes its products into two product categories, Advanced Wound Care (“AWC”) and Surgical & Sports Medicine (“SSM”), which serve two adjacent markets. Many of the Company’s products are clinically interchangeable and certain products are categorized as both AWC and SSM products. The Company’s products all contain regenerative medicine technologies and have the same customers and target market, require similar raw materials and commercial infrastructure, and exist within the same regulatory environment.</w:t></w:r></w:p><w:p><w:pPr><w:jc w:val="start"/><w:ind w:left="0" w:right="0" w:firstLine="0" w:hanging="0"/><w:spacing w:before="120" w:after="0"/></w:pPr><w:r><w:rPr><w:rFonts w:ascii="Times New Roman" w:hAnsi="Times New Roman" w:eastAsia="Times New Roman" w:cs="Times New Roman"/><w:color w:val="000000"/><w:sz w:val="20"/><w:szCs w:val="20"/></w:rPr><w:t xml:space="preserve">The Company’s chief operating decision maker (“CODM”) is </w:t></w:r><w:r><w:rPr><w:rFonts w:ascii="Times New Roman" w:hAnsi="Times New Roman" w:eastAsia="Times New Roman" w:cs="Times New Roman"/><w:color w:val="000000"/><w:sz w:val="20"/><w:szCs w:val="20"/></w:rPr><w:t xml:space="preserve">the Chief Executive Officer</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The CODM reviews consolidated gross profit and operating results to assess the overall performance of the Company and make decisions to allocate resources among the consolidated entity. The CODM uses both gross profit and net income (loss) for the consolidated entity in the annual budget and forecasting process, and considers budget-to-actual variances in gross profit and operating expenses on a quarterly basis when making decisions about the allocation of operating and capital resources to each predominant business activity (research and development, capital expenditure, and employee headcount and compensation).</w:t></w:r><w:r><w:rPr><w:rFonts w:ascii="Times New Roman" w:hAnsi="Times New Roman" w:eastAsia="Times New Roman" w:cs="Times New Roman"/><w:color w:val="000000"/><w:sz w:val="20"/><w:szCs w:val="20"/></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Less: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23,723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28,696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Clinical expense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4,027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5,876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Sales and marketing</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48,033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50,282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General and administrative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23,634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21,139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Other segment items </w:t></w:r><w:r><w:rPr><w:rFonts w:ascii="Times New Roman" w:hAnsi="Times New Roman" w:eastAsia="Times New Roman" w:cs="Times New Roman"/><w:color w:val="000000"/><w:sz w:val="13.4"/><w:szCs w:val="13.4"/><w:shd w:val="clear" w:fill="cff0fc"/></w:rPr><w:t xml:space="preserve">(a)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6,119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6,083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Segment 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c><w:tcPr><w:tcW w:w="0" w:type="pct"/><w:vAlign w:val="top"/><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Reconciliation of segment net income: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Reconciling items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Consolidated 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rPr><w:t xml:space="preserve">(a) Other segment items include: payroll taxes and benefits, rent and other facilities expense, depreciation and amortization, write-down to fair value for asset held for sale, interest income, net, and income tax benefit.</w:t></w:r></w:p><w:p><w:pPr><w:jc w:val="start"/><w:spacing w:before="120" w:after="0"/></w:pPr><w:r><w:rPr><w:rFonts w:ascii="Times New Roman" w:hAnsi="Times New Roman" w:eastAsia="Times New Roman" w:cs="Times New Roman"/><w:color w:val="000000"/><w:sz w:val="20"/><w:szCs w:val="20"/><w:b w:val="1"/><w:bCs w:val="1"/></w:rPr><w:t xml:space="preserve">15.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which the Company determined was probable. Additionally, the Company pays a low double-digit royalty on the Net Sales of Dual and VIA, and a high single-digit royalty on the Net Sales of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upfront licensing fee and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VIA option and milestone within prepaid and other current assets and other assets. These amounts are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5,022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4,947</w:t></w:r><w:r><w:rPr><w:rFonts w:ascii="Times New Roman" w:hAnsi="Times New Roman" w:eastAsia="Times New Roman" w:cs="Times New Roman"/><w:color w:val="000000"/><w:sz w:val="20"/><w:szCs w:val="20"/></w:rPr><w:t xml:space="preserve"> during the three months ended March 31, 2025 and 2024, respectively, within selling, general and administrative expenses on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purchase of assets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repurchased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including certain of its directors and their affiliates. These transactions are further described in Note 11, </w:t></w:r><w:r><w:rPr><w:rFonts w:ascii="Times New Roman" w:hAnsi="Times New Roman" w:eastAsia="Times New Roman" w:cs="Times New Roman"/><w:color w:val="000000"/><w:sz w:val="20"/><w:szCs w:val="20"/><w:i w:val="1"/><w:iCs w:val="1"/></w:rPr><w:t xml:space="preserve">Stockholders’ Equity and Stock-Based Compensation.</w:t></w:r><w:r><w:rPr><w:rFonts w:ascii="Times New Roman" w:hAnsi="Times New Roman" w:eastAsia="Times New Roman" w:cs="Times New Roman"/><w:color w:val="000000"/><w:sz w:val="20"/><w:szCs w:val="20"/><w:i w:val="1"/><w:iCs w:val="1"/></w:rPr><w:t xml:space="preserve"> </w:t></w:r></w:p><w:p><w:pPr><w:jc w:val="start"/><w:spacing w:before="12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three months ended March 31, 2025</w:t></w:r><w:r><w:rPr><w:rFonts w:ascii="Times New Roman" w:hAnsi="Times New Roman" w:eastAsia="Times New Roman" w:cs="Times New Roman"/><w:color w:val="000000"/><w:sz w:val="20"/><w:szCs w:val="20"/></w:rPr><w:t xml:space="preserve"> was (</w:t></w:r><w:r><w:rPr><w:rFonts w:ascii="Times New Roman" w:hAnsi="Times New Roman" w:eastAsia="Times New Roman" w:cs="Times New Roman"/><w:color w:val="000000"/><w:sz w:val="20"/><w:szCs w:val="20"/></w:rPr><w:t xml:space="preserve">27.7</w:t></w:r><w:r><w:rPr><w:rFonts w:ascii="Times New Roman" w:hAnsi="Times New Roman" w:eastAsia="Times New Roman" w:cs="Times New Roman"/><w:color w:val="000000"/><w:sz w:val="20"/><w:szCs w:val="20"/></w:rPr><w:t xml:space="preserve">)%, a decrease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research and development tax credit incentives, partially offset by tax adjustments related to executive compensation, and other nondeductible expenses. </w:t></w:r><w:r><w:rPr><w:rFonts w:ascii="Times New Roman" w:hAnsi="Times New Roman" w:eastAsia="Times New Roman" w:cs="Times New Roman"/><w:color w:val="000000"/><w:sz w:val="20"/><w:szCs w:val="20"/></w:rPr><w:t xml:space="preserve">The income tax benefit for the three months ended March 31, 2025 and 2024 was $</w:t></w:r><w:r><w:rPr><w:rFonts w:ascii="Times New Roman" w:hAnsi="Times New Roman" w:eastAsia="Times New Roman" w:cs="Times New Roman"/><w:color w:val="000000"/><w:sz w:val="20"/><w:szCs w:val="20"/></w:rPr><w:t xml:space="preserve">6,940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2,243</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2024, filed with the SEC, on February 27, 2025.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Unless the context otherwise requires, for purposes of this section, the terms “we,” “us,” “our,” “the Company,” “Organogenesis” and “ORGO” will refer to Organogenesis Holdings Inc. and its subsidiaries as they currently exist.</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Organogenesis is a leading regenerative medicine and tissue innovations company focused on empowering healing through the development, manufacturing, and sale of products for the advanced wound care and surgical and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We offer our differentiated products and in-house customer support to a wide range of health care customers including hospitals, wound care centers, government facilities, ASCs and physician offices. Our mission is to provide an integrated portfolio of healing and tissue solutions that improve lives while lowering the overall cost of health care.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a new manufacturing facility or engagement of a third-party manufacturer); PuraPly AM and PuraPly XT as antimicrobial barriers and native, cross-linked ECM scaffold for a broad variety of wound types; CYGNUS Dual as a dual-layered amniotic membrane that promotes an optimal environment for wound healing; CYGNUS Matrix as a dehydrated placental allograft that promotes an optimal environment for wound healing; and VIA Matrix, Affinity, Novachor, and NuShield placental allografts to address a variety of wound sizes and types as a protective barrier and extracellular matrix scaffold. We have a highly trained and specialized direct wound care sales force paired with comprehensive customer support services.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MZ, PuraPly AM,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currently plan to transition our Dermagraft manufacturing to our newly-leased biomanufacturing facility in Smithfield, Rhode Island, which we expect will begin in 2027, and will result in substantial long-term cost savings. If there are significant delays in the build out of the Smithfield Facility or in approval of the facility for manufacturing of Dermagraft, it could have an adverse effect on our future consolidated net revenue and results of operations.</w:t></w:r></w:p><w:p><w:pPr><w:jc w:val="start"/><w:spacing w:before="120" w:after="0"/></w:pPr><w:r><w:rPr><w:rFonts w:ascii="Times New Roman" w:hAnsi="Times New Roman" w:eastAsia="Times New Roman" w:cs="Times New Roman"/><w:color w:val="000000"/><w:sz w:val="20"/><w:szCs w:val="20"/><w:b w:val="1"/><w:bCs w:val="1"/><w:i w:val="1"/><w:iCs w:val="1"/></w:rPr><w:t xml:space="preserve">Local Coverage Determinations</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Medicare Part A/B Administrative Contractors (“MACs”) published new proposed local coverage determinations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10, 2025, the MACs announced another delay in the implementation of the LCDs until January 1, 2026. Under the new LCDs finalized in November 2024, should they take effect as scheduled, a total of eighteen products would remain covered, including our</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Apligraf and Dermagraft products for DFUs and VLUs, and our Affinity and NuShield products for DFUs; however, more than 200 products would be classified as “non-covered,” including our PuraPly, PuraPly AM, PuraPly XT, Novachor, TransCyte, Dual and Matrix products for DFUs and VLUs. The LCDs as finalized apply only to DFU and VLU indications for skin substitute products; coverage for other indications would remain subject to case-by-case review of medical necessity by the MACs if the LCDs take effect. It is uncertain if there will be further delays in implementing the new LCDs and/or if the new LCDs will be revised or rescinded going forward. If implemented, the LCDs could materially impact utilization of these products, our business, and our revenue. Any future changes or other developments related to these or other LCDs also could affect utilization of our products, our business, and our revenue.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a trademark license and manufacturing agreement with Vivex for Dual, Matrix, and VIA. We paid an upfront licensing fee to Vivex to sell Dual and Matrix, and we also agreed to pay a fixed milestone payment for Dual in the event that its ASP is published by certain government agencies for a specified period of time, which we remitted in January 2025. Additionally, we are required to pay a low double-digit royalty on the Net Sales of Dual and VIA, and a high single-digit royalty on the Net Sales of Matrix, respectively, during the royalty term, as defined in the Vivex Agreement. The royalty term is commensurate with the initial term of the contract and will continue for each subsequent renewal period. The initial term of the agreement expires on December 31, 2026 and can be renewed for up to five additional one-year terms.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March 31, 2025, we had approximately 256 direct sales representatives and approximately 174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We record revenue net of a reserve for returns, discounts and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additional investments in our product and platform development pipeline.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Write down expenses 	</w:t></w:r></w:p><w:p><w:pPr><w:jc w:val="start"/><w:ind w:left="0" w:right="0" w:firstLine="0" w:hanging="0"/><w:spacing w:before="120" w:after="0"/></w:pPr><w:r><w:rPr><w:rFonts w:ascii="Times New Roman" w:hAnsi="Times New Roman" w:eastAsia="Times New Roman" w:cs="Times New Roman"/><w:color w:val="000000"/><w:sz w:val="20"/><w:szCs w:val="20"/></w:rPr><w:t xml:space="preserve">Write down of property relates to the pending sale of one of our buildings located on our Canton, Massachusetts campus that was adjusted to fair market value based on current market conditions. We recorded this charge during the first quarter of 2025.</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comprises primarily of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We believe that our net U.S. deferred tax assets did not require a valuation allowance as of March 31, 2025 and December 31, 2024.</w:t></w:r><w:r><w:rPr><w:rFonts w:ascii="Times New Roman" w:hAnsi="Times New Roman" w:eastAsia="Times New Roman" w:cs="Times New Roman"/><w:color w:val="000000"/><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Our U.S. provision for income taxes relates to current tax expense associated with taxable income that could not be offset by net operating losses or research and development credits. The utilization of our remaining federal net operating losses is subject to an 80% taxable income limitation and for certain states we have no net operating losses remaining to offset state taxable income or the utilization of the remaining state net operating losses are subject to a limitation. We have also recorded a foreign provision for income taxes related to our wholly-owned subsidiary in Switzerland.</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tbl><w:tblGrid><w:gridCol w:w="36350" w:type="dxa"/><w:gridCol w:w="300" w:type="dxa"/><w:gridCol w:w="50" w:type="dxa"/><w:gridCol w:w="26850" w:type="dxa"/><w:gridCol w:w="50" w:type="dxa"/><w:gridCol w:w="300" w:type="dxa"/><w:gridCol w:w="50" w:type="dxa"/><w:gridCol w:w="26850" w:type="dxa"/><w:gridCol w:w="50" w:type="dxa"/></w:tblGrid><w:tblPr><w:tblW w:w="0" w:type="pct"/><w:tblLayout w:type="autofit"/></w:tblPr><w:tr><w:trPr/><w:tc><w:tcPr><w:tcW w:w="36350" w:type="pct"/><w:noWrap/></w:tcPr><w:p><w:pPr/></w:p></w:tc><w:tc><w:tcPr><w:tcW w:w="300" w:type="pct"/><w:noWrap/></w:tcPr><w:p><w:pPr/></w:p></w:tc><w:tc><w:tcPr><w:tcW w:w="50" w:type="pct"/><w:noWrap/></w:tcPr><w:p><w:pPr/></w:p></w:tc><w:tc><w:tcPr><w:tcW w:w="26850" w:type="pct"/><w:noWrap/></w:tcPr><w:p><w:pPr/></w:p></w:tc><w:tc><w:tcPr><w:tcW w:w="50" w:type="pct"/><w:noWrap/></w:tcPr><w:p><w:pPr/></w:p></w:tc><w:tc><w:tcPr><w:tcW w:w="300" w:type="pct"/><w:noWrap/></w:tcPr><w:p><w:pPr/></w:p></w:tc><w:tc><w:tcPr><w:tcW w:w="50" w:type="pct"/><w:noWrap/></w:tcPr><w:p><w:pPr/></w:p></w:tc><w:tc><w:tcPr><w:tcW w:w="26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23,723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28,696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62,970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81,280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72,509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72,322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10,640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12,810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6,567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89,716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85,132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(26,746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(3,852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income (expense)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(514</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other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963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(491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(25,783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(4,343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6,940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2,243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12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presents a reconciliation of GAAP net loss to non-GAAP EBITDA and non-GAAP Adjusted EBITDA for each of the periods presented:</w:t></w:r></w:p><w:tbl><w:tblGrid><w:gridCol w:w="4400" w:type="dxa"/><w:gridCol w:w="100" w:type="dxa"/><w:gridCol w:w="50" w:type="dxa"/><w:gridCol w:w="200" w:type="dxa"/><w:gridCol w:w="50" w:type="dxa"/><w:gridCol w:w="100" w:type="dxa"/><w:gridCol w:w="50" w:type="dxa"/><w:gridCol w:w="200" w:type="dxa"/><w:gridCol w:w="50" w:type="dxa"/></w:tblGrid><w:tblPr><w:tblW w:w="0" w:type="pct"/><w:tblLayout w:type="autofit"/></w:tblPr><w:tr><w:trPr/><w:tc><w:tcPr><w:tcW w:w="4400" w:type="pct"/><w:noWrap/></w:tcPr><w:p><w:pPr/></w:p></w:tc><w:tc><w:tcPr><w:tcW w:w="100" w:type="pct"/><w:noWrap/></w:tcPr><w:p><w:pPr/></w:p></w:tc><w:tc><w:tcPr><w:tcW w:w="50" w:type="pct"/><w:noWrap/></w:tcPr><w:p><w:pPr/></w:p></w:tc><w:tc><w:tcPr><w:tcW w:w="200" w:type="pct"/><w:noWrap/></w:tcPr><w:p><w:pPr/></w:p></w:tc><w:tc><w:tcPr><w:tcW w:w="50" w:type="pct"/><w:noWrap/></w:tcPr><w:p><w:pPr/></w:p></w:tc><w:tc><w:tcPr><w:tcW w:w="100" w:type="pct"/><w:noWrap/></w:tcPr><w:p><w:pPr/></w:p></w:tc><w:tc><w:tcPr><w:tcW w:w="50" w:type="pct"/><w:noWrap/></w:tcPr><w:p><w:pPr/></w:p></w:tc><w:tc><w:tcPr><w:tcW w:w="2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(18,843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(2,100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(961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514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(6,940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3,444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3,072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901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(22,458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to fair value for asset held for sale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Adjusted EBITDA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(12,524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12"/><w:szCs w:val="12"/></w:rPr><w:t xml:space="preserve"> </w:t></w:r></w:p><w:p><w:pPr><w:jc w:val="start"/><w:spacing w:before="120" w:after="0"/></w:pPr><w:r><w:rPr><w:rFonts w:ascii="Times New Roman" w:hAnsi="Times New Roman" w:eastAsia="Times New Roman" w:cs="Times New Roman"/><w:color w:val="000000"/><w:sz w:val="20"/><w:szCs w:val="20"/><w:b w:val="1"/><w:bCs w:val="1"/></w:rPr><w:t xml:space="preserve">Comparison of Three Months Ended March 31, 2025 and 2024</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8900" w:type="dxa"/><w:gridCol w:w="5550" w:type="dxa"/><w:gridCol w:w="50" w:type="dxa"/><w:gridCol w:w="44450" w:type="dxa"/><w:gridCol w:w="50" w:type="dxa"/><w:gridCol w:w="5550" w:type="dxa"/><w:gridCol w:w="50" w:type="dxa"/><w:gridCol w:w="22200000000000150" w:type="dxa"/><w:gridCol w:w="50" w:type="dxa"/><w:gridCol w:w="11100" w:type="dxa"/><w:gridCol w:w="50" w:type="dxa"/><w:gridCol w:w="43300" w:type="dxa"/><w:gridCol w:w="50" w:type="dxa"/><w:gridCol w:w="11100" w:type="dxa"/><w:gridCol w:w="50" w:type="dxa"/><w:gridCol w:w="47750" w:type="dxa"/><w:gridCol w:w="50" w:type="dxa"/></w:tblGrid><w:tblPr><w:tblW w:w="0" w:type="pct"/><w:tblLayout w:type="autofit"/></w:tblPr><w:tr><w:trPr/><w:tc><w:tcPr><w:tcW w:w="8900" w:type="pct"/><w:noWrap/></w:tcPr><w:p><w:pPr/></w:p></w:tc><w:tc><w:tcPr><w:tcW w:w="5550" w:type="pct"/><w:noWrap/></w:tcPr><w:p><w:pPr/></w:p></w:tc><w:tc><w:tcPr><w:tcW w:w="50" w:type="pct"/><w:noWrap/></w:tcPr><w:p><w:pPr/></w:p></w:tc><w:tc><w:tcPr><w:tcW w:w="44450" w:type="pct"/><w:noWrap/></w:tcPr><w:p><w:pPr/></w:p></w:tc><w:tc><w:tcPr><w:tcW w:w="50" w:type="pct"/><w:noWrap/></w:tcPr><w:p><w:pPr/></w:p></w:tc><w:tc><w:tcPr><w:tcW w:w="5550" w:type="pct"/><w:noWrap/></w:tcPr><w:p><w:pPr/></w:p></w:tc><w:tc><w:tcPr><w:tcW w:w="50" w:type="pct"/><w:noWrap/></w:tcPr><w:p><w:pPr/></w:p></w:tc><w:tc><w:tcPr><w:tcW w:w="22200000000000150" w:type="pct"/><w:noWrap/></w:tcPr><w:p><w:pPr/></w:p></w:tc><w:tc><w:tcPr><w:tcW w:w="50" w:type="pct"/><w:noWrap/></w:tcPr><w:p><w:pPr/></w:p></w:tc><w:tc><w:tcPr><w:tcW w:w="11100" w:type="pct"/><w:noWrap/></w:tcPr><w:p><w:pPr/></w:p></w:tc><w:tc><w:tcPr><w:tcW w:w="50" w:type="pct"/><w:noWrap/></w:tcPr><w:p><w:pPr/></w:p></w:tc><w:tc><w:tcPr><w:tcW w:w="43300" w:type="pct"/><w:noWrap/></w:tcPr><w:p><w:pPr/></w:p></w:tc><w:tc><w:tcPr><w:tcW w:w="50" w:type="pct"/><w:noWrap/></w:tcPr><w:p><w:pPr/></w:p></w:tc><w:tc><w:tcPr><w:tcW w:w="11100" w:type="pct"/><w:noWrap/></w:tcPr><w:p><w:pPr/></w:p></w:tc><w:tc><w:tcPr><w:tcW w:w="50" w:type="pct"/><w:noWrap/></w:tcPr><w:p><w:pPr/></w:p></w:tc><w:tc><w:tcPr><w:tcW w:w="477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79,927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103,864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(23,937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6,766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6,112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86,693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(23,283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Net revenue from our Advanced Wound Care products decreased by $23.9 million, or 23%, to $79.9 million in the three months ended March 31, 2025, from $103.9 million in the three months ended March 31, 2024. The decrease in Advanced Wound Care net revenue was primarily attributable to increased ambiguity and disruption in customer behavior following the delayed implementation of the LCDs announced in January 2025.</w:t></w:r></w:p><w:p><w:pPr><w:jc w:val="start"/><w:ind w:left="0" w:right="0" w:firstLine="0" w:hanging="0"/><w:spacing w:before="120" w:after="0"/></w:pPr><w:r><w:rPr><w:rFonts w:ascii="Times New Roman" w:hAnsi="Times New Roman" w:eastAsia="Times New Roman" w:cs="Times New Roman"/><w:color w:val="000000"/><w:sz w:val="20"/><w:szCs w:val="20"/></w:rPr><w:t xml:space="preserve">Net revenue from our Surgical & Sports Medicine products increased by $0.7 million, or 11%, to $6.8 million in the three months ended March 31, 2025 from $6.1 million in the three months ended March 31, 2024. The increase in Surgical & Sports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Medicine net revenue was primarily due to an increase in certain customer buying patterns.</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23,723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28,696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(4,973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62,970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81,280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(18,310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Cost of goods sold decreased by $5.0 million, or 17%, to $23.7 million in the three months ended March 31, 2025, from $28.7 million in the three months ended March 31, 2024. The decrease in cost of goods sold in the three months ended March 31, 2025 was primarily due to a decrease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Gross profit decreased by $18.3 million, or 23%, to $63.0 million in the three months ended March 31, 2025 from $81.3 million in the three months ended March 31, 2024. Gross profit decreased as a percentage of revenue due to a shift in product mix.</w:t></w:r></w:p><w:p><w:pPr><w:jc w:val="start"/><w:spacing w:before="12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10,640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12,810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(2,170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decreased by $2.2 million, or 17%, to $10.6 million in the three months ended March 31, 2025 from $12.8 million in the three months ended March 31, 2024. The decrease in research and development expenses was primarily due to a decrease in expenses associated with clinical research and trials.</w:t></w:r></w:p><w:p><w:pPr><w:jc w:val="start"/><w:spacing w:before="12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72,509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72,322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$0.2 million, or less than 1%, to $72.5 million in the three months ended March 31, 2025 from $72.3 million in the three months ended March 31, 2024. The increase in selling, general and administrative expenses was primarily due to an increase in headcount-related expenses of $2.7 million and a $1.0 million increase in facilities expense, offset by a decrease in commissions expense of $3.5 million due to decreased sales.</w:t></w:r></w:p><w:p><w:pPr><w:jc w:val="start"/><w:spacing w:before="120" w:after="0"/></w:pPr><w:r><w:rPr><w:rFonts w:ascii="Times New Roman" w:hAnsi="Times New Roman" w:eastAsia="Times New Roman" w:cs="Times New Roman"/><w:color w:val="000000"/><w:sz w:val="20"/><w:szCs w:val="20"/><w:b w:val="1"/><w:bCs w:val="1"/><w:i w:val="1"/><w:iCs w:val="1"/></w:rPr><w:t xml:space="preserve">Write Down Expenses</w:t></w:r></w:p><w:p><w:pPr><w:jc w:val="start"/><w:ind w:left="0" w:right="0" w:firstLine="0" w:hanging="0"/><w:spacing w:before="240" w:after="0"/></w:pPr><w:r><w:rPr><w:rFonts w:ascii="Times New Roman" w:hAnsi="Times New Roman" w:eastAsia="Times New Roman" w:cs="Times New Roman"/><w:color w:val="000000"/><w:sz w:val="20"/><w:szCs w:val="20"/></w:rPr><w:t xml:space="preserve">During the three months ended March 31, 2025, we recorded a $6.6 million write down of costs to adjust certain assets held for sale to their fair market value. There were no such costs recorded in the three months ended March 31, 2024.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12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decreased by $1.5 million, or 296%, to $1.0 million in income in the three months ended March 31, 2025 from $0.5 million expense in the three months ended March 31, 2024. The decrease resulted primarily from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Income Tax Benefit</w:t></w:r></w:p><w:p><w:pPr><w:jc w:val="start"/><w:spacing w:before="0" w:after="0"/></w:pPr><w:r><w:rPr><w:rFonts w:ascii="Times New Roman" w:hAnsi="Times New Roman" w:eastAsia="Times New Roman" w:cs="Times New Roman"/><w:sz w:val="24"/><w:szCs w:val="24"/></w:rPr><w:t xml:space="preserve"> </w:t></w:r></w:p><w:tbl><w:tblGrid><w:gridCol w:w="3350" w:type="dxa"/><w:gridCol w:w="900" w:type="dxa"/><w:gridCol w:w="50" w:type="dxa"/><w:gridCol w:w="45100000000000050" w:type="dxa"/><w:gridCol w:w="50" w:type="dxa"/><w:gridCol w:w="900" w:type="dxa"/><w:gridCol w:w="50" w:type="dxa"/><w:gridCol w:w="45100000000000050" w:type="dxa"/><w:gridCol w:w="50" w:type="dxa"/><w:gridCol w:w="900" w:type="dxa"/><w:gridCol w:w="50" w:type="dxa"/><w:gridCol w:w="31100" w:type="dxa"/><w:gridCol w:w="50" w:type="dxa"/><w:gridCol w:w="50" w:type="dxa"/><w:gridCol w:w="50" w:type="dxa"/><w:gridCol w:w="18100" w:type="dxa"/><w:gridCol w:w="50" w:type="dxa"/></w:tblGrid><w:tblPr><w:tblW w:w="0" w:type="pct"/><w:tblLayout w:type="autofit"/></w:tblPr><w:tr><w:trPr/><w:tc><w:tcPr><w:tcW w:w="33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31100" w:type="pct"/><w:noWrap/></w:tcPr><w:p><w:pPr/></w:p></w:tc><w:tc><w:tcPr><w:tcW w:w="50" w:type="pct"/><w:noWrap/></w:tcPr><w:p><w:pPr/></w:p></w:tc><w:tc><w:tcPr><w:tcW w:w="50" w:type="pct"/><w:noWrap/></w:tcPr><w:p><w:pPr/></w:p></w:tc><w:tc><w:tcPr><w:tcW w:w="50" w:type="pct"/><w:noWrap/></w:tcPr><w:p><w:pPr/></w:p></w:tc><w:tc><w:tcPr><w:tcW w:w="18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6,940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2,243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4,697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Income tax benefit increased by $4.7 million, or 209%, to $6.9 million in the three months ended March 31, 2025 from $2.2 million in the three months ended March 31, 2024. The change in the income tax benefit is primarily attributable to a lower estimated effective tax rate for the three months ended March 31, 2025 due to our research and development tax credits, as well as a reduction in expected pre-tax income in 2025 compared to 2024.</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2025, we had working capital of $203.1 million, which included $110.0 million in cash and cash equivalents. We have $125.0 million available for future revolving borrowings under our Revolving Facility (see Note 9,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Form 10-Q). We expect that our cash on hand and other components of working capital as of March 31, 2025, availability under the 2021 Credit Agreement, plus net cash flows from product sales, will be sufficient to fund our operating expenses, capital expenditure requirements and debt service payments for at least 12 months beyond the filing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12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150" w:type="dxa"/><w:gridCol w:w="11700" w:type="dxa"/><w:gridCol w:w="50" w:type="dxa"/><w:gridCol w:w="49100" w:type="dxa"/><w:gridCol w:w="50" w:type="dxa"/><w:gridCol w:w="11700" w:type="dxa"/><w:gridCol w:w="50" w:type="dxa"/><w:gridCol w:w="13300" w:type="dxa"/><w:gridCol w:w="50" w:type="dxa"/></w:tblGrid><w:tblPr><w:tblW w:w="0" w:type="pct"/><w:tblLayout w:type="autofit"/></w:tblPr><w:tr><w:trPr/><w:tc><w:tcPr><w:tcW w:w="14150" w:type="pct"/><w:noWrap/></w:tcPr><w:p><w:pPr/></w:p></w:tc><w:tc><w:tcPr><w:tcW w:w="11700" w:type="pct"/><w:noWrap/></w:tcPr><w:p><w:pPr/></w:p></w:tc><w:tc><w:tcPr><w:tcW w:w="50" w:type="pct"/><w:noWrap/></w:tcPr><w:p><w:pPr/></w:p></w:tc><w:tc><w:tcPr><w:tcW w:w="49100" w:type="pct"/><w:noWrap/></w:tcPr><w:p><w:pPr/></w:p></w:tc><w:tc><w:tcPr><w:tcW w:w="50" w:type="pct"/><w:noWrap/></w:tcPr><w:p><w:pPr/></w:p></w:tc><w:tc><w:tcPr><w:tcW w:w="117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(19,935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(10,162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(3,626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(2,222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(2,056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(25,617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(14,992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net cash used in operating activities was $19.9 million, resulting from our net loss of $18.8 million and net cash used in connection with changes in our operating assets and liabilities of $20.7 million, partially offset by non-cash charges of $19.6 million. Net cash used in changes in our operating assets and liabilities included an increase in inventory of $8.7 million, an increase in prepaid expenses and other current assets of $5.1 million, a decrease in operating lease liabilities of $2.0 million, a decrease in accounts payable of $2.5 million, and a decrease in accrued expenses and other liabilities of $8.0 million, partially offset by a decrease in accounts receivable of $5.7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net cash used in operating activities was $10.2 million, resulting from our net loss of $2.1 million and non-cash charges of $12.6 million, partially offset by net cash used in connection with changes in our operating assets and liabilities of $20.7 million. Net cash used in changes in our operating assets and liabilities included an increase in inventory of $4.7 million, an increase in prepaid expenses and other current assets of $4.3 million, an increase in accounts receivable of $15.1 million, a decrease in operating lease liabilities of $2.2 million, and a decrease in accounts payable of $4.4 million, partially offset by an increase in accrued expenses and other liabilities of $12.3 million.</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we used $3.6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we used $2.2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net cash used in financing activities was $2.1 million. This consisted of principal payments on finance lease obligations of $0.3 million and net cash payments associated with our stock awards activities of $1.8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net cash used in financing activities was $2.6 million. This consisted of the payment of term loan of $1.4 million, principal payments on finance lease obligations of $0.2 million, and net cash payments associated with our stock awards activities of $1.1 million.</w:t></w:r></w:p><w:p><w:pPr><w:jc w:val="start"/><w:spacing w:before="12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(the “Lenders”), which we refer to as the 2021 Credit Agreement. The 2021 Credit Agreement, as amended, provides for a term loan facility not to exceed $75.0 million (the “Term Loan Facility”) and a revolving credit facility not to exceed $125.0 million (the “Revolving Facility”). In November 2024, we and the Lenders amended the 2021 Credit Agreement to allow for the issuance of the Convertible Preferred Stock, and to require the repayment of the Term Loan Facility within one business day of such issuance, among other terms (the “2024 Amendment”).</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were either SOFR Loans or ABR Loans, at our option. For SOFR Loans, the interest rate was a per annum interest rate equal to the Adjusted Term SOFR plus an Applicable Margin between 2.00% to 3.25% based on the Total Net Leverage Ratio. For ABR Loans, the interest rate was equal to (1) the highest of (a) the Wall Street Journal Prime Rate, (b) the Federal Funds Rate plus 0.50% and (c) the Adjusted Term SOFR rate plus 1.0%, plus (2) an Applicable Margin between 1.00% to 2.25% based on the Total Net Leverage Ratio.</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required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We prepaid the Term Loan Facility in November 2024, and amounts borrowed under the Term Loan Facility may not be re-borrowed.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as amended by the 2024 Amendment,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December 31, 2024 and March 31, 2025, we were in compliance with the covenants under the 2021 Credit Agreement, as amended by the 2024 Amendment. We did not have outstanding borrowings under our Term Loan Facility or our Revolving Facility as of March 31, 2025 or December 31, 2024.</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loss, liquidity and financial condition. See also our Annual Report on Form 10-K for the fiscal year ended December 31, 2024,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12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 there were no material changes to our market risk disclosures as set forth in Part II, Item 7A, “Quantitative and Qualitative Disclosures About Market Risk” in our Annual Report on Form 10-K for the fiscal year ended December 31, 2024.</w:t></w:r></w:p><w:p><w:pPr><w:jc w:val="start"/><w:spacing w:before="12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defined in Rules 13a-15(e) and 15d-15(e) under the Securities Exchange Act of 1934, as amended, or the Exchange Act). Based upon that evaluation, our management, including our principal executive officer and our principal financial officer, concluded that, as of  March 31, 2025, our disclosure controls and procedures are effective and designed to ensure that the information required to be disclosed in our reports filed or submitted under the Exchange Act is recorded, processed, summarized and reported within the requisite time periods.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Changes in Internal Control Over Financial Reporting</w:t></w:r></w:p><w:p><w:pPr><w:jc w:val="start"/><w:ind w:left="0" w:right="0" w:firstLine="0" w:hanging="0"/><w:spacing w:before="120" w:after="0"/></w:pPr><w:r><w:rPr><w:rFonts w:ascii="Times New Roman" w:hAnsi="Times New Roman" w:eastAsia="Times New Roman" w:cs="Times New Roman"/><w:color w:val="000000"/><w:sz w:val="20"/><w:szCs w:val="20"/></w:rPr><w:t xml:space="preserve">There were no changes in our internal controls over financial reporting that occurred during the quarter ended March 31, 2025 that have materially affected, or are reasonably likely to materially affect, our internal control over financial reporting.</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disclosed in our Annual Report on Form 10-K for the fiscal year ended December 31, 2024, on January 22, 2025, the Company was served with a complaint captioned United States of America, State of Texas, ex rel. John Doe vs. Organogenesis Holdings, Inc., which was filed in the United States District Court for the Southern District of Texas. The complaint is being brought by an employee the Company terminated. The United States and the State of Texas each declined to intervene in the case in September 2024. The complaint alleges claims pursuant to the United States False Claims Act and the Texas State Medicaid Fraud Prevention Act, seeking unquantified damages as well as fines, attorneys’ fees and other costs. The Company believes the claims are without merit and intends to vigorously contest them.</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2024, includes a detailed discussion of our risk factors under the heading “Part I, Item 1A—Risk Factors.” Except as set forth below, there have been no material changes from such risk factors during the quarter ended March 31, 2025. You should consider carefully the risk factors discussed in our Annual Report on Form 10-K for the year ended December 31, 2024, and all other information contained in or incorporated by reference in this Form 10-Q before making an investment decision. If any of the risks discussed in the Annual Report on Form 10-K for the year ended December 31, 2024,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Seven MACs recently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10, 2025, the MACs announced another delay in the implementation of the LCDs until January 1, 2026. Under the new LCDs finalized in November 2024, should they take effect as scheduled, a total of eighteen products would remain covered, including our Apligraf and Dermagraft products for DFUs and VLUs, and our Affinity and NuShield products for DFUs; however, more than 200 products would be classified as “non-covered,” including our PuraPly, PuraPly AM, PuraPly XT, Novachor, TransCyte, Dual and Matrix products for DFUs and VLUs. It is uncertain if there will be further delays in implementing the new LCDs and/or if the new LCDs will be revised or rescinded going forward. If implemented, the LCDs could materially impact utilization of these products, our business, and our revenue. Any future changes or other developments related to these or other LCDs also could affect utilization of our products, our business, and our revenue.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12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12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12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other than Gary S. Gillheeney, Sr. and Antonio S. Montecalvo adopted or terminated a “Rule 10b5-1 trading arrangement” or “non-rule 10b5-1 trading arrangement,” as each term is defined in item 408(a) of Regulation S-K.</w:t></w:r></w:p><w:p><w:pPr><w:jc w:val="start"/><w:ind w:left="0" w:right="0" w:firstLine="0" w:hanging="0"/><w:spacing w:before="120" w:after="0"/></w:pPr><w:r><w:rPr><w:rFonts w:ascii="Times New Roman" w:hAnsi="Times New Roman" w:eastAsia="Times New Roman" w:cs="Times New Roman"/><w:color w:val="000000"/><w:sz w:val="20"/><w:szCs w:val="20"/></w:rPr><w:t xml:space="preserve">On </w:t></w:r><w:r><w:rPr><w:rFonts w:ascii="Times New Roman" w:hAnsi="Times New Roman" w:eastAsia="Times New Roman" w:cs="Times New Roman"/><w:color w:val="000000"/><w:sz w:val="20"/><w:szCs w:val="20"/></w:rPr><w:t xml:space="preserve">March 12, 2025</w:t></w:r><w:r><w:rPr><w:rFonts w:ascii="Times New Roman" w:hAnsi="Times New Roman" w:eastAsia="Times New Roman" w:cs="Times New Roman"/><w:color w:val="000000"/><w:sz w:val="20"/><w:szCs w:val="20"/></w:rPr><w:t xml:space="preserve">, Mr. Gillheeney </w:t></w:r><w:r><w:rPr><w:rFonts w:ascii="Times New Roman" w:hAnsi="Times New Roman" w:eastAsia="Times New Roman" w:cs="Times New Roman"/><w:color w:val="000000"/><w:sz w:val="20"/><w:szCs w:val="20"/></w:rPr><w:t xml:space="preserve">adopted</w:t></w:r><w:r><w:rPr><w:rFonts w:ascii="Times New Roman" w:hAnsi="Times New Roman" w:eastAsia="Times New Roman" w:cs="Times New Roman"/><w:color w:val="000000"/><w:sz w:val="20"/><w:szCs w:val="20"/></w:rPr><w:t xml:space="preserve"> a trading plan intended to satisfy Rule 10b5-1(c) to sell up to </w:t></w:r><w:r><w:rPr><w:rFonts w:ascii="Times New Roman" w:hAnsi="Times New Roman" w:eastAsia="Times New Roman" w:cs="Times New Roman"/><w:color w:val="000000"/><w:sz w:val="20"/><w:szCs w:val="20"/></w:rPr><w:t xml:space="preserve">827,688</w:t></w:r><w:r><w:rPr><w:rFonts w:ascii="Times New Roman" w:hAnsi="Times New Roman" w:eastAsia="Times New Roman" w:cs="Times New Roman"/><w:color w:val="000000"/><w:sz w:val="20"/><w:szCs w:val="20"/></w:rPr><w:t xml:space="preserve"> shares of the Company’s Class A common stock issuable upon exercise of vested stock options between June 10, 2025 and March 31, 2026, subject to certain conditions.</w:t></w:r></w:p><w:p><w:pPr><w:jc w:val="start"/><w:ind w:left="0" w:right="0" w:firstLine="0" w:hanging="0"/><w:spacing w:before="120" w:after="0"/></w:pPr><w:r><w:rPr><w:rFonts w:ascii="Times New Roman" w:hAnsi="Times New Roman" w:eastAsia="Times New Roman" w:cs="Times New Roman"/><w:color w:val="000000"/><w:sz w:val="20"/><w:szCs w:val="20"/></w:rPr><w:t xml:space="preserve">On </w:t></w:r><w:r><w:rPr><w:rFonts w:ascii="Times New Roman" w:hAnsi="Times New Roman" w:eastAsia="Times New Roman" w:cs="Times New Roman"/><w:color w:val="000000"/><w:sz w:val="20"/><w:szCs w:val="20"/></w:rPr><w:t xml:space="preserve">March 13, 2025</w:t></w:r><w:r><w:rPr><w:rFonts w:ascii="Times New Roman" w:hAnsi="Times New Roman" w:eastAsia="Times New Roman" w:cs="Times New Roman"/><w:color w:val="000000"/><w:sz w:val="20"/><w:szCs w:val="20"/></w:rPr><w:t xml:space="preserve">, Mr. Montecalvo </w:t></w:r><w:r><w:rPr><w:rFonts w:ascii="Times New Roman" w:hAnsi="Times New Roman" w:eastAsia="Times New Roman" w:cs="Times New Roman"/><w:color w:val="000000"/><w:sz w:val="20"/><w:szCs w:val="20"/></w:rPr><w:t xml:space="preserve">adopted</w:t></w:r><w:r><w:rPr><w:rFonts w:ascii="Times New Roman" w:hAnsi="Times New Roman" w:eastAsia="Times New Roman" w:cs="Times New Roman"/><w:color w:val="000000"/><w:sz w:val="20"/><w:szCs w:val="20"/></w:rPr><w:t xml:space="preserve"> a trading plan intended to satisfy Rule 10b5-1(c) to sell up to </w:t></w:r><w:r><w:rPr><w:rFonts w:ascii="Times New Roman" w:hAnsi="Times New Roman" w:eastAsia="Times New Roman" w:cs="Times New Roman"/><w:color w:val="000000"/><w:sz w:val="20"/><w:szCs w:val="20"/></w:rPr><w:t xml:space="preserve">40,708</w:t></w:r><w:r><w:rPr><w:rFonts w:ascii="Times New Roman" w:hAnsi="Times New Roman" w:eastAsia="Times New Roman" w:cs="Times New Roman"/><w:color w:val="000000"/><w:sz w:val="20"/><w:szCs w:val="20"/></w:rPr><w:t xml:space="preserve"> shares of the Company’s Class A common stock and up to </w:t></w:r><w:r><w:rPr><w:rFonts w:ascii="Times New Roman" w:hAnsi="Times New Roman" w:eastAsia="Times New Roman" w:cs="Times New Roman"/><w:color w:val="000000"/><w:sz w:val="20"/><w:szCs w:val="20"/></w:rPr><w:t xml:space="preserve">159,292</w:t></w:r><w:r><w:rPr><w:rFonts w:ascii="Times New Roman" w:hAnsi="Times New Roman" w:eastAsia="Times New Roman" w:cs="Times New Roman"/><w:color w:val="000000"/><w:sz w:val="20"/><w:szCs w:val="20"/></w:rPr><w:t xml:space="preserve"> shares of the Company’s Class A common stock issuable upon exercise of vested stock options between June 13, 2025 and March 13, 2026, subject to certain conditions.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First Amendment to Lease dated March 21, 2025 among Organogenesis Holdings Inc., Organogenesis Inc., and DIV Technology Way, LLC  </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Form of Performance Share Award Agreement under the 2018 Equity Incentive Plan (incorporated by reference to Exhibit 10.36 to the Company’s Annual Report on Form 10-K (File No. 001-37906) filed with the SEC on February 27, 2025)</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4"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5"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May 8, 2025</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095017024125431/orgo-ex3_3.htm" TargetMode="External"/><Relationship Id="rId30" Type="http://schemas.openxmlformats.org/officeDocument/2006/relationships/hyperlink" Target="https://www.sec.gov/Archives/edgar/data/1661181/000119312519245823/d772464dex32.htm" TargetMode="External"/><Relationship Id="rId31" Type="http://schemas.openxmlformats.org/officeDocument/2006/relationships/hyperlink" Target="orgo-ex10_1.htm" TargetMode="External"/><Relationship Id="rId32" Type="http://schemas.openxmlformats.org/officeDocument/2006/relationships/hyperlink" Target="https://www.sec.gov/Archives/edgar/data/1661181/000095017025029137/orgo-ex10_36.htm" TargetMode="External"/><Relationship Id="rId33" Type="http://schemas.openxmlformats.org/officeDocument/2006/relationships/hyperlink" Target="orgo-ex31_1.htm" TargetMode="External"/><Relationship Id="rId34" Type="http://schemas.openxmlformats.org/officeDocument/2006/relationships/hyperlink" Target="orgo-ex31_2.htm" TargetMode="External"/><Relationship Id="rId35"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2026-08-07T06:16:44-04:00</dcterms:created>
  <dcterms:modified xsi:type="dcterms:W3CDTF">2026-08-07T06:16:44-04:00</dcterms:modified>
</cp:coreProperties>
</file>

<file path=docProps/custom.xml><?xml version="1.0" encoding="utf-8"?>
<Properties xmlns="http://schemas.openxmlformats.org/officeDocument/2006/custom-properties" xmlns:vt="http://schemas.openxmlformats.org/officeDocument/2006/docPropsVTypes"/>
</file>