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hyperlink w:anchor="toc" w:history="1"><w:r><w:rPr/><w:t xml:space="preserve">Table of Contents</w:t></w:r></w:hyperlink></w:p><w:p><w:pPr><w:jc w:val="start"/></w:pPr><w:r><w:rPr><w:spacing w:val="0"/></w:rPr><w:t xml:space="preserve"> </w:t></w:r></w:p><w:p><w:pPr><w:jc w:val="start"/></w:pPr><w:r><w:rPr><w:spacing w:val="0"/></w:rPr><w:t xml:space="preserve"> </w:t></w:r></w:p><w:p><w:pPr><w:jc w:val="center"/></w:pPr><w:r><w:rPr><w:rFonts w:ascii="&quot;Times New Roman&quot;" w:hAnsi="&quot;Times New Roman&quot;" w:eastAsia="&quot;Times New Roman&quot;" w:cs="&quot;Times New Roman&quot;"/><w:sz w:val="36"/><w:szCs w:val="36"/><w:b w:val="1"/><w:bCs w:val="1"/><w:spacing w:val="0"/></w:rPr><w:t xml:space="preserve">UNITED STATES </w:t></w:r></w:p><w:p><w:pPr><w:jc w:val="center"/></w:pPr><w:r><w:rPr><w:rFonts w:ascii="&quot;Times New Roman&quot;" w:hAnsi="&quot;Times New Roman&quot;" w:eastAsia="&quot;Times New Roman&quot;" w:cs="&quot;Times New Roman&quot;"/><w:sz w:val="36"/><w:szCs w:val="36"/><w:b w:val="1"/><w:bCs w:val="1"/><w:spacing w:val="0"/></w:rPr><w:t xml:space="preserve">SECURITIES AND EXCHANGE COMMISSION </w:t></w:r></w:p><w:p><w:pPr><w:jc w:val="center"/></w:pPr><w:r><w:rPr><w:rFonts w:ascii="&quot;Times New Roman&quot;" w:hAnsi="&quot;Times New Roman&quot;" w:eastAsia="&quot;Times New Roman&quot;" w:cs="&quot;Times New Roman&quot;"/><w:sz w:val="24"/><w:szCs w:val="24"/><w:b w:val="1"/><w:bCs w:val="1"/><w:spacing w:val="0"/></w:rPr><w:t xml:space="preserve">Washington, D.C. 20549 </w:t></w:r></w:p><w:p><w:pPr><w:jc w:val="start"/></w:pPr><w:r><w:rPr><w:sz w:val="24"/><w:szCs w:val="24"/><w:spacing w:val="0"/></w:rPr><w:t xml:space="preserve"> </w:t></w:r></w:p><w:p><w:pPr><w:jc w:val="center"/></w:pPr><w:r><w:rPr><w:spacing w:val="0"/></w:rPr><w:t xml:space="preserve"> </w:t></w:r></w:p><w:p><w:pPr><w:jc w:val="center"/></w:pPr><w:r><w:rPr><w:rFonts w:ascii="&quot;Times New Roman&quot;" w:hAnsi="&quot;Times New Roman&quot;" w:eastAsia="&quot;Times New Roman&quot;" w:cs="&quot;Times New Roman&quot;"/><w:sz w:val="36"/><w:szCs w:val="36"/><w:b w:val="1"/><w:bCs w:val="1"/></w:rPr><w:t xml:space="preserve">FORM </w:t></w:r></w:p><w:p><w:pPr><w:jc w:val="center"/></w:pPr><w:r><w:rPr><w:rFonts w:ascii="&quot;Times New Roman&quot;" w:hAnsi="&quot;Times New Roman&quot;" w:eastAsia="&quot;Times New Roman&quot;" w:cs="&quot;Times New Roman&quot;"/><w:sz w:val="36"/><w:szCs w:val="36"/><w:b w:val="1"/><w:bCs w:val="1"/><w:spacing w:val="0"/></w:rPr><w:t xml:space="preserve">10-Q</w:t></w:r></w:p><w:p><w:pPr><w:jc w:val="center"/></w:pPr><w:r><w:rPr><w:rFonts w:ascii="&quot;Times New Roman&quot;" w:hAnsi="&quot;Times New Roman&quot;" w:eastAsia="&quot;Times New Roman&quot;" w:cs="&quot;Times New Roman&quot;"/><w:sz w:val="36"/><w:szCs w:val="36"/><w:b w:val="1"/><w:bCs w:val="1"/></w:rPr><w:t xml:space="preserve"> </w:t></w:r></w:p><w:p><w:pPr><w:jc w:val="start"/></w:pPr><w:r><w:rPr><w:sz w:val="24"/><w:szCs w:val="24"/><w:spacing w:val="0"/></w:rPr><w:t xml:space="preserve"> </w:t></w:r></w:p><w:p><w:pPr><w:jc w:val="center"/></w:pPr><w:r><w:rPr><w:spacing w:val="0"/></w:rPr><w:t xml:space="preserve"> </w:t></w:r></w:p><w:p><w:pPr><w:jc w:val="start"/></w:pPr><w:r><w:rPr><w:rFonts w:ascii="&quot;Times New Roman&quot;" w:hAnsi="&quot;Times New Roman&quot;" w:eastAsia="&quot;Times New Roman&quot;" w:cs="&quot;Times New Roman&quot;"/><w:sz w:val="20"/><w:szCs w:val="20"/><w:b w:val="1"/><w:bCs w:val="1"/><w:spacing w:val="0"/></w:rPr><w:t xml:space="preserve">(Mark One)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4"/><w:szCs w:val="24"/></w:rPr><w:t xml:space="preserve">☒</w:t></w:r></w:p></w:tc><w:tc><w:tcPr><w:tcW w:w="5000" w:type="pct"/><w:vAlign w:val="top"/><w:noWrap/></w:tcPr><w:p><w:pPr><w:jc w:val="start"/></w:pPr><w:r><w:rPr><w:rFonts w:ascii="&quot;Times New Roman&quot;" w:hAnsi="&quot;Times New Roman&quot;" w:eastAsia="&quot;Times New Roman&quot;" w:cs="&quot;Times New Roman&quot;"/><w:sz w:val="24"/><w:szCs w:val="24"/><w:b w:val="1"/><w:bCs w:val="1"/><w:spacing w:val="0"/></w:rPr><w:t xml:space="preserve">QUARTERLY REPORT PURSUANT TO SECTION 13 OR 15(d) OF THE SECURITIES EXCHANGE ACT OF 1934 </w:t></w:r></w:p></w:tc></w:tr></w:tbl><w:p><w:pPr><w:jc w:val="center"/></w:pPr><w:r><w:rPr><w:rFonts w:ascii="&quot;Times New Roman&quot;" w:hAnsi="&quot;Times New Roman&quot;" w:eastAsia="&quot;Times New Roman&quot;" w:cs="&quot;Times New Roman&quot;"/><w:sz w:val="20"/><w:szCs w:val="20"/><w:b w:val="1"/><w:bCs w:val="1"/><w:spacing w:val="0"/></w:rPr><w:t xml:space="preserve">For the quarterly period ended September 30, 2021 </w:t></w:r></w:p><w:p><w:pPr><w:jc w:val="center"/></w:pPr><w:r><w:rPr><w:rFonts w:ascii="&quot;Times New Roman&quot;" w:hAnsi="&quot;Times New Roman&quot;" w:eastAsia="&quot;Times New Roman&quot;" w:cs="&quot;Times New Roman&quot;"/><w:sz w:val="20"/><w:szCs w:val="20"/><w:b w:val="1"/><w:bCs w:val="1"/><w:spacing w:val="0"/></w:rPr><w:t xml:space="preserve">or </w:t></w:r></w:p><w:p><w:pPr><w:jc w:val="start"/></w:pPr><w:r><w:rPr><w:sz w:val="24"/><w:szCs w:val="24"/><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4"/><w:szCs w:val="24"/></w:rPr><w:t xml:space="preserve">☐</w:t></w:r></w:p></w:tc><w:tc><w:tcPr><w:tcW w:w="5000" w:type="pct"/><w:vAlign w:val="top"/><w:noWrap/></w:tcPr><w:p><w:pPr><w:jc w:val="start"/></w:pPr><w:r><w:rPr><w:rFonts w:ascii="&quot;Times New Roman&quot;" w:hAnsi="&quot;Times New Roman&quot;" w:eastAsia="&quot;Times New Roman&quot;" w:cs="&quot;Times New Roman&quot;"/><w:sz w:val="24"/><w:szCs w:val="24"/><w:b w:val="1"/><w:bCs w:val="1"/><w:spacing w:val="0"/></w:rPr><w:t xml:space="preserve">TRANSITION REPORT PURSUANT TO SECTION 13 OR 15(d) OF THE SECURITIES EXCHANGE ACT OF 1934 </w:t></w:r></w:p></w:tc></w:tr></w:tbl><w:p><w:pPr><w:jc w:val="center"/></w:pPr><w:r><w:rPr><w:rFonts w:ascii="&quot;Times New Roman&quot;" w:hAnsi="&quot;Times New Roman&quot;" w:eastAsia="&quot;Times New Roman&quot;" w:cs="&quot;Times New Roman&quot;"/><w:sz w:val="20"/><w:szCs w:val="20"/><w:b w:val="1"/><w:bCs w:val="1"/></w:rPr><w:t xml:space="preserve">Commission File </w:t></w:r></w:p><w:p><w:pPr><w:jc w:val="center"/></w:pPr><w:r><w:rPr><w:rFonts w:ascii="&quot;Times New Roman&quot;" w:hAnsi="&quot;Times New Roman&quot;" w:eastAsia="&quot;Times New Roman&quot;" w:cs="&quot;Times New Roman&quot;"/><w:sz w:val="20"/><w:szCs w:val="20"/><w:b w:val="1"/><w:bCs w:val="1"/><w:spacing w:val="0"/></w:rPr><w:t xml:space="preserve">Number 001-37906</w:t></w:r></w:p><w:p><w:pPr><w:jc w:val="center"/></w:pPr><w:r><w:rPr><w:rFonts w:ascii="&quot;Times New Roman&quot;" w:hAnsi="&quot;Times New Roman&quot;" w:eastAsia="&quot;Times New Roman&quot;" w:cs="&quot;Times New Roman&quot;"/><w:sz w:val="20"/><w:szCs w:val="20"/><w:b w:val="1"/><w:bCs w:val="1"/></w:rPr><w:t xml:space="preserve"> </w:t></w:r></w:p><w:p><w:pPr><w:jc w:val="start"/></w:pPr><w:r><w:rPr><w:sz w:val="24"/><w:szCs w:val="24"/><w:spacing w:val="0"/></w:rPr><w:t xml:space="preserve"> </w:t></w:r></w:p><w:p><w:pPr><w:jc w:val="center"/></w:pPr><w:r><w:rPr><w:spacing w:val="0"/></w:rPr><w:t xml:space="preserve"> </w:t></w:r></w:p><w:p><w:pPr><w:jc w:val="center"/></w:pPr><w:r><w:rPr><w:rFonts w:ascii="&quot;Times New Roman&quot;" w:hAnsi="&quot;Times New Roman&quot;" w:eastAsia="&quot;Times New Roman&quot;" w:cs="&quot;Times New Roman&quot;"/><w:sz w:val="48"/><w:szCs w:val="48"/><w:b w:val="1"/><w:bCs w:val="1"/><w:spacing w:val="0"/></w:rPr><w:t xml:space="preserve">ORGANOGENESIS HOLDINGS INC.</w:t></w:r></w:p><w:p><w:pPr><w:jc w:val="center"/></w:pPr><w:r><w:rPr><w:rFonts w:ascii="&quot;Times New Roman&quot;" w:hAnsi="&quot;Times New Roman&quot;" w:eastAsia="&quot;Times New Roman&quot;" w:cs="&quot;Times New Roman&quot;"/><w:sz w:val="48"/><w:szCs w:val="48"/><w:b w:val="1"/><w:bCs w:val="1"/><w:spacing w:val="0"/></w:rPr><w:t xml:space="preserve"> </w:t></w:r></w:p><w:p><w:pPr><w:jc w:val="center"/></w:pPr><w:r><w:rPr><w:rFonts w:ascii="&quot;Times New Roman&quot;" w:hAnsi="&quot;Times New Roman&quot;" w:eastAsia="&quot;Times New Roman&quot;" w:cs="&quot;Times New Roman&quot;"/><w:sz w:val="20"/><w:szCs w:val="20"/><w:b w:val="1"/><w:bCs w:val="1"/><w:spacing w:val="0"/></w:rPr><w:t xml:space="preserve">(Exact name of registrant as specified in its charter) </w:t></w:r></w:p><w:p><w:pPr><w:jc w:val="start"/></w:pPr><w:r><w:rPr><w:sz w:val="24"/><w:szCs w:val="24"/><w:spacing w:val="0"/></w:rPr><w:t xml:space="preserve"> </w:t></w:r></w:p><w:p><w:pPr><w:jc w:val="center"/></w:pPr><w:r><w:rPr><w:spacing w:val="0"/></w:rPr><w:t xml:space="preserve"> </w:t></w:r></w:p><w:p><w:pPr><w:jc w:val="start"/></w:pPr><w:r><w:rPr><w:sz w:val="24"/><w:szCs w:val="24"/><w:spacing w:val="0"/></w:rPr><w:t xml:space="preserve"> </w:t></w:r></w:p><w:tbl><w:tblGrid><w:gridCol w:w="2500" w:type="dxa"/><w:gridCol w:w="50" w:type="dxa"/><w:gridCol w:w="2400" w:type="dxa"/></w:tblGrid><w:tblPr><w:tblW w:w="5000" w:type="pct"/><w:tblCellSpacing w:w="0" w:type="dxa"/><w:tblLayout w:type="autofit"/></w:tblPr><w:tr><w:trPr/><w:tc><w:tcPr><w:tcW w:w="2500" w:type="pct"/><w:noWrap/></w:tcPr><w:p><w:pPr/></w:p></w:tc><w:tc><w:tcPr><w:tcW w:w="50" w:type="pct"/><w:vAlign w:val="bottom"/><w:noWrap/></w:tcPr><w:p><w:pPr/></w:p></w:tc><w:tc><w:tcPr><w:tcW w:w="2400" w:type="pct"/><w:noWrap/></w:tcPr><w:p><w:pPr/></w:p></w:tc></w:tr><w:tr><w:trPr/><w:tc><w:tcPr><w:tcW w:w="5000" w:type="pct"/><w:vAlign w:val="top"/><w:noWrap/></w:tcPr><w:p><w:pPr><w:jc w:val="center"/></w:pPr><w:r><w:rPr><w:rFonts w:ascii="Times New Roman" w:hAnsi="Times New Roman" w:eastAsia="Times New Roman" w:cs="Times New Roman"/><w:sz w:val="20"/><w:szCs w:val="20"/><w:b w:val="1"/><w:bCs w:val="1"/><w:spacing w:val="0"/></w:rPr><w:t xml:space="preserve">Delaware</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98-1329150</w:t></w:r></w:p></w:tc></w:tr><w:tr><w:trPr/><w:tc><w:tcPr><w:tcW w:w="5000" w:type="pct"/><w:vAlign w:val="top"/><w:noWrap/></w:tcPr><w:p><w:pPr><w:jc w:val="center"/></w:pPr><w:r><w:rPr><w:rFonts w:ascii="&quot;Times New Roman&quot;" w:hAnsi="&quot;Times New Roman&quot;" w:eastAsia="&quot;Times New Roman&quot;" w:cs="&quot;Times New Roman&quot;"/><w:sz w:val="16"/><w:szCs w:val="16"/><w:b w:val="1"/><w:bCs w:val="1"/><w:spacing w:val="0"/></w:rPr><w:t xml:space="preserve">(State or other jurisdiction of</w:t></w:r><w:r><w:rPr><w:rFonts w:ascii="&quot;Times New Roman&quot;" w:hAnsi="&quot;Times New Roman&quot;" w:eastAsia="&quot;Times New Roman&quot;" w:cs="&quot;Times New Roman&quot;"/><w:sz w:val="16"/><w:szCs w:val="16"/><w:b w:val="1"/><w:bCs w:val="1"/><w:spacing w:val="0"/></w:rPr><w:t xml:space="preserve">incorporation or organization)</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jc w:val="center"/></w:pPr><w:r><w:rPr><w:rFonts w:ascii="&quot;Times New Roman&quot;" w:hAnsi="&quot;Times New Roman&quot;" w:eastAsia="&quot;Times New Roman&quot;" w:cs="&quot;Times New Roman&quot;"/><w:sz w:val="16"/><w:szCs w:val="16"/><w:b w:val="1"/><w:bCs w:val="1"/><w:spacing w:val="0"/></w:rPr><w:t xml:space="preserve">(I.R.S. Employer</w:t></w:r><w:r><w:rPr><w:rFonts w:ascii="&quot;Times New Roman&quot;" w:hAnsi="&quot;Times New Roman&quot;" w:eastAsia="&quot;Times New Roman&quot;" w:cs="&quot;Times New Roman&quot;"/><w:sz w:val="16"/><w:szCs w:val="16"/><w:b w:val="1"/><w:bCs w:val="1"/><w:spacing w:val="0"/></w:rPr><w:t xml:space="preserve">Identification No.)</w:t></w:r></w:p></w:tc></w:tr></w:tbl><w:p><w:pPr><w:jc w:val="center"/></w:pPr><w:r><w:rPr><w:rFonts w:ascii="&quot;Times New Roman&quot;" w:hAnsi="&quot;Times New Roman&quot;" w:eastAsia="&quot;Times New Roman&quot;" w:cs="&quot;Times New Roman&quot;"/><w:sz w:val="20"/><w:szCs w:val="20"/><w:b w:val="1"/><w:bCs w:val="1"/><w:spacing w:val="0"/></w:rPr><w:t xml:space="preserve">85 Dan Road </w:t></w:r></w:p><w:p><w:pPr><w:jc w:val="center"/></w:pPr><w:r><w:rPr><w:rFonts w:ascii="&quot;Times New Roman&quot;" w:hAnsi="&quot;Times New Roman&quot;" w:eastAsia="&quot;Times New Roman&quot;" w:cs="&quot;Times New Roman&quot;"/><w:sz w:val="20"/><w:szCs w:val="20"/><w:b w:val="1"/><w:bCs w:val="1"/><w:spacing w:val="0"/></w:rPr><w:t xml:space="preserve">Canton, </w:t></w:r></w:p><w:p><w:pPr><w:jc w:val="center"/></w:pPr><w:r><w:rPr><w:rFonts w:ascii="&quot;Times New Roman&quot;" w:hAnsi="&quot;Times New Roman&quot;" w:eastAsia="&quot;Times New Roman&quot;" w:cs="&quot;Times New Roman&quot;"/><w:sz w:val="20"/><w:szCs w:val="20"/><w:b w:val="1"/><w:bCs w:val="1"/><w:spacing w:val="0"/></w:rPr><w:t xml:space="preserve">MA</w:t></w:r></w:p><w:p><w:pPr><w:jc w:val="center"/></w:pPr><w:r><w:rPr><w:rFonts w:ascii="&quot;Times New Roman&quot;" w:hAnsi="&quot;Times New Roman&quot;" w:eastAsia="&quot;Times New Roman&quot;" w:cs="&quot;Times New Roman&quot;"/><w:sz w:val="20"/><w:szCs w:val="20"/><w:b w:val="1"/><w:bCs w:val="1"/><w:spacing w:val="0"/></w:rPr><w:t xml:space="preserve"> 02021 </w:t></w:r></w:p><w:p><w:pPr><w:jc w:val="center"/></w:pPr><w:r><w:rPr><w:rFonts w:ascii="&quot;Times New Roman&quot;" w:hAnsi="&quot;Times New Roman&quot;" w:eastAsia="&quot;Times New Roman&quot;" w:cs="&quot;Times New Roman&quot;"/><w:sz w:val="16"/><w:szCs w:val="16"/><w:b w:val="1"/><w:bCs w:val="1"/><w:spacing w:val="0"/></w:rPr><w:t xml:space="preserve">(Address of principal executive offices) (Zip Code) </w:t></w:r></w:p><w:p><w:pPr><w:jc w:val="center"/></w:pPr><w:r><w:rPr><w:rFonts w:ascii="&quot;Times New Roman&quot;" w:hAnsi="&quot;Times New Roman&quot;" w:eastAsia="&quot;Times New Roman&quot;" w:cs="&quot;Times New Roman&quot;"/><w:sz w:val="20"/><w:szCs w:val="20"/><w:b w:val="1"/><w:bCs w:val="1"/></w:rPr><w:t xml:space="preserve">(781) </w:t></w:r></w:p><w:p><w:pPr><w:jc w:val="center"/></w:pPr><w:r><w:rPr><w:rFonts w:ascii="&quot;Times New Roman&quot;" w:hAnsi="&quot;Times New Roman&quot;" w:eastAsia="&quot;Times New Roman&quot;" w:cs="&quot;Times New Roman&quot;"/><w:sz w:val="20"/><w:szCs w:val="20"/><w:b w:val="1"/><w:bCs w:val="1"/><w:spacing w:val="0"/></w:rPr><w:t xml:space="preserve">575-0775</w:t></w:r></w:p><w:p><w:pPr><w:jc w:val="center"/></w:pPr><w:r><w:rPr><w:rFonts w:ascii="&quot;Times New Roman&quot;" w:hAnsi="&quot;Times New Roman&quot;" w:eastAsia="&quot;Times New Roman&quot;" w:cs="&quot;Times New Roman&quot;"/><w:sz w:val="20"/><w:szCs w:val="20"/><w:b w:val="1"/><w:bCs w:val="1"/></w:rPr><w:t xml:space="preserve"> </w:t></w:r></w:p><w:p><w:pPr><w:jc w:val="center"/></w:pPr><w:r><w:rPr><w:rFonts w:ascii="&quot;Times New Roman&quot;" w:hAnsi="&quot;Times New Roman&quot;" w:eastAsia="&quot;Times New Roman&quot;" w:cs="&quot;Times New Roman&quot;"/><w:sz w:val="16"/><w:szCs w:val="16"/><w:b w:val="1"/><w:bCs w:val="1"/><w:spacing w:val="0"/></w:rPr><w:t xml:space="preserve">(Registrant’s telephone number, including area code) </w:t></w:r></w:p><w:p><w:pPr><w:jc w:val="start"/></w:pPr><w:r><w:rPr><w:sz w:val="24"/><w:szCs w:val="24"/><w:spacing w:val="0"/></w:rPr><w:t xml:space="preserve"> </w:t></w:r></w:p><w:p><w:pPr><w:jc w:val="center"/></w:pPr><w:r><w:rPr><w:spacing w:val="0"/></w:rPr><w:t xml:space="preserve"> </w:t></w:r></w:p><w:p><w:pPr><w:jc w:val="center"/></w:pPr><w:r><w:rPr><w:rFonts w:ascii="&quot;Times New Roman&quot;" w:hAnsi="&quot;Times New Roman&quot;" w:eastAsia="&quot;Times New Roman&quot;" w:cs="&quot;Times New Roman&quot;"/><w:sz w:val="20"/><w:szCs w:val="20"/><w:b w:val="1"/><w:bCs w:val="1"/><w:spacing w:val="0"/></w:rPr><w:t xml:space="preserve">Securities registered pursuant to Section 12(b) of the Act.</w:t></w:r></w:p><w:p><w:pPr><w:jc w:val="start"/></w:pPr><w:r><w:rPr><w:sz w:val="24"/><w:szCs w:val="24"/><w:spacing w:val="0"/></w:rPr><w:t xml:space="preserve"> </w:t></w:r></w:p><w:tbl><w:tblGrid><w:gridCol w:w="1700" w:type="dxa"/><w:gridCol w:w="5000" w:type="dxa"/><w:gridCol w:w="1600" w:type="dxa"/><w:gridCol w:w="50" w:type="dxa"/><w:gridCol w:w="1600" w:type="dxa"/></w:tblGrid><w:tblPr><w:tblW w:w="5000" w:type="pct"/><w:tblCellSpacing w:w="0" w:type="dxa"/><w:tblLayout w:type="autofit"/></w:tblPr><w:tr><w:trPr/><w:tc><w:tcPr><w:tcW w:w="1700" w:type="pct"/><w:noWrap/></w:tcPr><w:p><w:pPr/></w:p></w:tc><w:tc><w:tcPr><w:tcW w:w="5000" w:type="pct"/><w:vAlign w:val="bottom"/><w:noWrap/></w:tcPr><w:p><w:pPr/></w:p></w:tc><w:tc><w:tcPr><w:tcW w:w="1600" w:type="pct"/><w:noWrap/></w:tcPr><w:p><w:pPr/></w:p></w:tc><w:tc><w:tcPr><w:tcW w:w="50" w:type="pct"/><w:vAlign w:val="bottom"/><w:noWrap/></w:tcPr><w:p><w:pPr/></w:p></w:tc><w:tc><w:tcPr><w:tcW w:w="1600" w:type="pct"/><w:noWrap/></w:tcPr><w:p><w:pPr/></w:p></w:tc></w:tr><w:tr><w:trPr/><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Title of each class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Trading</w:t></w:r><w:r><w:rPr><w:rFonts w:ascii="&quot;Times New Roman&quot;" w:hAnsi="&quot;Times New Roman&quot;" w:eastAsia="&quot;Times New Roman&quot;" w:cs="&quot;Times New Roman&quot;"/><w:sz w:val="16"/><w:szCs w:val="16"/><w:b w:val="1"/><w:bCs w:val="1"/><w:spacing w:val="0"/></w:rPr><w:t xml:space="preserve">Symbol(s)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Name of each exchange</w:t></w:r><w:r><w:rPr><w:rFonts w:ascii="&quot;Times New Roman&quot;" w:hAnsi="&quot;Times New Roman&quot;" w:eastAsia="&quot;Times New Roman&quot;" w:cs="&quot;Times New Roman&quot;"/><w:sz w:val="16"/><w:szCs w:val="16"/><w:b w:val="1"/><w:bCs w:val="1"/><w:spacing w:val="0"/></w:rPr><w:t xml:space="preserve">on which registered</w:t></w:r></w:p></w:tc></w:tr><w:tr><w:trPr/><w:tc><w:tcPr><w:tcW w:w="5000" w:type="pct"/><w:vAlign w:val="top"/><w:noWrap/></w:tcPr><w:p><w:pPr><w:jc w:val="center"/></w:pPr><w:r><w:rPr><w:rFonts w:ascii="Times New Roman" w:hAnsi="Times New Roman" w:eastAsia="Times New Roman" w:cs="Times New Roman"/><w:sz w:val="20"/><w:szCs w:val="20"/><w:b w:val="1"/><w:bCs w:val="1"/><w:spacing w:val="0"/></w:rPr><w:t xml:space="preserve">Class A Common Stock, $0.0001 par value</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ORGO</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Nasdaq Capital Market</w:t></w:r></w:p></w:tc></w:tr></w:tbl><w:p><w:pPr><w:jc w:val="start"/></w:pPr><w:r><w:rPr><w:rFonts w:ascii="&quot;Times New Roman&quot;" w:hAnsi="&quot;Times New Roman&quot;" w:eastAsia="&quot;Times New Roman&quot;" w:cs="&quot;Times New Roman&quot;"/><w:sz w:val="20"/><w:szCs w:val="20"/><w:spacing w:val="0"/></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    No  ☐ </w:t></w:r></w:p><w:p><w:pPr><w:jc w:val="start"/></w:pPr><w:r><w:rPr><w:rFonts w:ascii="Times New Roman" w:hAnsi="Times New Roman" w:eastAsia="Times New Roman" w:cs="Times New Roman"/><w:sz w:val="20"/><w:szCs w:val="20"/></w:rPr><w:t xml:space="preserve">Indicate by check mark whether the registrant has submitted electronically every Interactive Data File required to be submitted pursuant to Rule 405 of </w:t></w:r></w:p><w:p><w:pPr><w:jc w:val="start"/></w:pPr><w:r><w:rPr><w:rFonts w:ascii="Times New Roman" w:hAnsi="Times New Roman" w:eastAsia="Times New Roman" w:cs="Times New Roman"/><w:sz w:val="20"/><w:szCs w:val="20"/><w:spacing w:val="0"/></w:rPr><w:t xml:space="preserve">Regulation S-T</w:t></w:r></w:p><w:p><w:pPr><w:jc w:val="start"/></w:pPr><w:r><w:rPr><w:rFonts w:ascii="Times New Roman" w:hAnsi="Times New Roman" w:eastAsia="Times New Roman" w:cs="Times New Roman"/><w:sz w:val="20"/><w:szCs w:val="20"/></w:rPr><w:t xml:space="preserve"> (§232.405 of this chapter) during the preceding 12 months (or for such shorter period that the registrant was required to submit such files).    Yes  ☒    No  ☐ </w:t></w:r></w:p><w:p><w:pPr><w:jc w:val="start"/></w:pPr><w:r><w:rPr><w:rFonts w:ascii="Times New Roman" w:hAnsi="Times New Roman" w:eastAsia="Times New Roman" w:cs="Times New Roman"/><w:sz w:val="20"/><w:szCs w:val="20"/></w:rPr><w:t xml:space="preserve">Indicate by check mark whether the registrant is a large accelerated filer, an accelerated filer, a </w:t></w:r></w:p><w:p><w:pPr><w:jc w:val="start"/></w:pPr><w:r><w:rPr><w:rFonts w:ascii="Times New Roman" w:hAnsi="Times New Roman" w:eastAsia="Times New Roman" w:cs="Times New Roman"/><w:sz w:val="20"/><w:szCs w:val="20"/><w:spacing w:val="0"/></w:rPr><w:t xml:space="preserve">non-accelerated</w:t></w:r></w:p><w:p><w:pPr><w:jc w:val="start"/></w:pPr><w:r><w:rPr><w:rFonts w:ascii="Times New Roman" w:hAnsi="Times New Roman" w:eastAsia="Times New Roman" w:cs="Times New Roman"/><w:sz w:val="20"/><w:szCs w:val="20"/></w:rPr><w:t xml:space="preserve"> filer, a smaller reporting company, or an emerging growth company. See the definitions of “large accelerated filer,” “accelerated filer,” “smaller reporting company,” and “emerging growth company” in </w:t></w:r></w:p><w:p><w:pPr><w:jc w:val="start"/></w:pPr><w:r><w:rPr><w:rFonts w:ascii="Times New Roman" w:hAnsi="Times New Roman" w:eastAsia="Times New Roman" w:cs="Times New Roman"/><w:sz w:val="20"/><w:szCs w:val="20"/><w:spacing w:val="0"/></w:rPr><w:t xml:space="preserve">Rule 12b-2</w:t></w:r></w:p><w:p><w:pPr><w:jc w:val="start"/></w:pPr><w:r><w:rPr><w:rFonts w:ascii="Times New Roman" w:hAnsi="Times New Roman" w:eastAsia="Times New Roman" w:cs="Times New Roman"/><w:sz w:val="20"/><w:szCs w:val="20"/></w:rPr><w:t xml:space="preserve"> of the Exchange Act. </w:t></w:r></w:p><w:p><w:pPr><w:jc w:val="start"/></w:pPr><w:r><w:rPr><w:sz w:val="24"/><w:szCs w:val="24"/><w:spacing w:val="0"/></w:rPr><w:t xml:space="preserve"> </w:t></w:r></w:p><w:tbl><w:tblGrid><w:gridCol w:w="850" w:type="dxa"/><w:gridCol w:w="50" w:type="dxa"/><w:gridCol w:w="2900" w:type="dxa"/><w:gridCol w:w="50" w:type="dxa"/><w:gridCol w:w="1000" w:type="dxa"/><w:gridCol w:w="50" w:type="dxa"/><w:gridCol w:w="100" w:type="dxa"/></w:tblGrid><w:tblPr><w:tblW w:w="5000" w:type="pct"/><w:tblCellSpacing w:w="0" w:type="dxa"/><w:tblLayout w:type="autofit"/></w:tblPr><w:tr><w:trPr/><w:tc><w:tcPr><w:tcW w:w="850" w:type="pct"/><w:noWrap/></w:tcPr><w:p><w:pPr/></w:p></w:tc><w:tc><w:tcPr><w:tcW w:w="50" w:type="pct"/><w:vAlign w:val="bottom"/><w:noWrap/></w:tcPr><w:p><w:pPr/></w:p></w:tc><w:tc><w:tcPr><w:tcW w:w="2900" w:type="pct"/><w:noWrap/></w:tcPr><w:p><w:pPr/></w:p></w:tc><w:tc><w:tcPr><w:tcW w:w="50" w:type="pct"/><w:vAlign w:val="bottom"/><w:noWrap/></w:tcPr><w:p><w:pPr/></w:p></w:tc><w:tc><w:tcPr><w:tcW w:w="1000" w:type="pct"/><w:noWrap/></w:tcPr><w:p><w:pPr/></w:p></w:tc><w:tc><w:tcPr><w:tcW w:w="50" w:type="pct"/><w:vAlign w:val="bottom"/><w:noWrap/></w:tcPr><w:p><w:pPr/></w:p></w:tc><w:tc><w:tcPr><w:tcW w:w="100" w:type="pct"/><w:noWrap/></w:tcPr><w:p><w:pPr/></w:p></w:tc></w:tr><w:tr><w:trPr/><w:tc><w:tcPr><w:tcW w:w="5000" w:type="pct"/><w:vAlign w:val="bottom"/><w:noWrap/></w:tcPr><w:p><w:pPr/><w:r><w:rPr><w:rFonts w:ascii="Times New Roman" w:hAnsi="Times New Roman" w:eastAsia="Times New Roman" w:cs="Times New Roman"/><w:sz w:val="20"/><w:szCs w:val="20"/></w:rPr><w:t xml:space="preserve">Large accelerated filer</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Accelerated filer</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r><w:tr><w:trPr/><w:tc><w:tcPr><w:tcW w:w="5000" w:type="pct"/><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r><w:tr><w:trPr/><w:tc><w:tcPr><w:tcW w:w="5000" w:type="pct"/><w:vAlign w:val="bottom"/><w:noWrap/></w:tcPr><w:p><w:pPr/><w:r><w:rPr><w:rFonts w:ascii="Times New Roman" w:hAnsi="Times New Roman" w:eastAsia="Times New Roman" w:cs="Times New Roman"/><w:sz w:val="20"/><w:szCs w:val="20"/><w:spacing w:val="0"/></w:rPr><w:t xml:space="preserve">Non-accelerated filer</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Smaller reporting company</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r><w:tr><w:trPr/><w:tc><w:tcPr><w:tcW w:w="5000" w:type="pct"/><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r><w:tr><w:trPr/><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Emerging growth company</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r></w:tbl><w:p><w:pPr><w:jc w:val="start"/></w:pPr><w:r><w:rPr><w:rFonts w:ascii="&quot;Times New Roman&quot;" w:hAnsi="&quot;Times New Roman&quot;" w:eastAsia="&quot;Times New Roman&quot;" w:cs="&quot;Times New Roman&quot;"/><w:sz w:val="20"/><w:szCs w:val="20"/><w:spacing w:val="0"/></w:rPr><w:t xml:space="preserve">If an emerging growth company, indicate by check mark if the registrant has elected not to use the extended transition period for complying with any new or revised financial accounting standards provided pursuant to Section 13(a) of the Exchange Act.  ☐ </w:t></w:r></w:p><w:p><w:pPr><w:jc w:val="start"/></w:pPr><w:r><w:rPr><w:rFonts w:ascii="&quot;Times New Roman&quot;" w:hAnsi="&quot;Times New Roman&quot;" w:eastAsia="&quot;Times New Roman&quot;" w:cs="&quot;Times New Roman&quot;"/><w:sz w:val="20"/><w:szCs w:val="20"/></w:rPr><w:t xml:space="preserve">Indicate by check mark whether the registrant is a shell company (as defined in </w:t></w:r></w:p><w:p><w:pPr><w:jc w:val="start"/></w:pPr><w:r><w:rPr><w:rFonts w:ascii="&quot;Times New Roman&quot;" w:hAnsi="&quot;Times New Roman&quot;" w:eastAsia="&quot;Times New Roman&quot;" w:cs="&quot;Times New Roman&quot;"/><w:sz w:val="20"/><w:szCs w:val="20"/><w:spacing w:val="0"/></w:rPr><w:t xml:space="preserve">Rule 12b-2</w:t></w:r></w:p><w:p><w:pPr><w:jc w:val="start"/></w:pPr><w:r><w:rPr><w:rFonts w:ascii="&quot;Times New Roman&quot;" w:hAnsi="&quot;Times New Roman&quot;" w:eastAsia="&quot;Times New Roman&quot;" w:cs="&quot;Times New Roman&quot;"/><w:sz w:val="20"/><w:szCs w:val="20"/></w:rPr><w:t xml:space="preserve"> of the Exchange Act).    Yes  ☐    No  ☒ </w:t></w:r></w:p><w:p><w:pPr><w:jc w:val="start"/></w:pPr><w:r><w:rPr><w:rFonts w:ascii="&quot;Times New Roman&quot;" w:hAnsi="&quot;Times New Roman&quot;" w:eastAsia="&quot;Times New Roman&quot;" w:cs="&quot;Times New Roman&quot;"/><w:sz w:val="20"/><w:szCs w:val="20"/><w:spacing w:val="0"/></w:rPr><w:t xml:space="preserve">As of November 1, 2021, the registrant had a total of</w:t></w:r></w:p><w:p><w:pPr><w:jc w:val="start"/></w:pPr><w:r><w:rPr><w:rFonts w:ascii="&quot;Times New Roman&quot;" w:hAnsi="&quot;Times New Roman&quot;" w:eastAsia="&quot;Times New Roman&quot;" w:cs="&quot;Times New Roman&quot;"/><w:sz w:val="20"/><w:szCs w:val="20"/><w:spacing w:val="0"/></w:rPr><w:t xml:space="preserve"> 128,641,628 shares of</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its Class A common stock, $0.0001 par value per share, outstanding.</w:t></w:r></w:p><w:p><w:pPr><w:jc w:val="start"/></w:pPr><w:r><w:rPr><w:sz w:val="20"/><w:szCs w:val="20"/><w:spacing w:val="0"/></w:rPr><w:t xml:space="preserve"> </w:t></w:r></w:p><w:p><w:pPr><w:jc w:val="start"/></w:pPr><w:r><w:rPr><w:spacing w:val="0"/></w:rPr><w:t xml:space="preserve"> </w:t></w:r></w:p><w:p><w:pPr><w:jc w:val="start"/></w:pPr><w:r><w:rPr><w:spacing w:val="0"/></w:rPr><w:t xml:space="preserve">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rPr><w:t xml:space="preserve">Quarterly Report on Form </w:t></w:r></w:p><w:p><w:pPr><w:jc w:val="center"/></w:pPr><w:r><w:rPr><w:rFonts w:ascii="&quot;Times New Roman&quot;" w:hAnsi="&quot;Times New Roman&quot;" w:eastAsia="&quot;Times New Roman&quot;" w:cs="&quot;Times New Roman&quot;"/><w:sz w:val="20"/><w:szCs w:val="20"/><w:b w:val="1"/><w:bCs w:val="1"/><w:spacing w:val="0"/></w:rPr><w:t xml:space="preserve">10-Q</w:t></w:r></w:p><w:p><w:pPr><w:jc w:val="center"/></w:pPr><w:r><w:rPr><w:rFonts w:ascii="&quot;Times New Roman&quot;" w:hAnsi="&quot;Times New Roman&quot;" w:eastAsia="&quot;Times New Roman&quot;" w:cs="&quot;Times New Roman&quot;"/><w:sz w:val="20"/><w:szCs w:val="20"/><w:b w:val="1"/><w:bCs w:val="1"/></w:rPr><w:t xml:space="preserve"> </w:t></w:r></w:p><w:p><w:pPr><w:jc w:val="center"/></w:pPr><w:r><w:rPr><w:rFonts w:ascii="&quot;Times New Roman&quot;" w:hAnsi="&quot;Times New Roman&quot;" w:eastAsia="&quot;Times New Roman&quot;" w:cs="&quot;Times New Roman&quot;"/><w:sz w:val="20"/><w:szCs w:val="20"/><w:b w:val="1"/><w:bCs w:val="1"/><w:spacing w:val="0"/></w:rPr><w:t xml:space="preserve">For the Quarterly Period Ended September 30, 2021 </w:t></w:r></w:p><w:p><w:pPr><w:jc w:val="center"/></w:pPr><w:r><w:rPr><w:rFonts w:ascii="&quot;Times New Roman&quot;" w:hAnsi="&quot;Times New Roman&quot;" w:eastAsia="&quot;Times New Roman&quot;" w:cs="&quot;Times New Roman&quot;"/><w:sz w:val="20"/><w:szCs w:val="20"/><w:b w:val="1"/><w:bCs w:val="1"/><w:spacing w:val="0"/></w:rPr><w:t xml:space="preserve">Table of Contents </w:t></w:r></w:p><w:p><w:pPr><w:jc w:val="start"/></w:pPr><w:r><w:rPr><w:sz w:val="24"/><w:szCs w:val="24"/><w:spacing w:val="0"/></w:rPr><w:t xml:space="preserve"> </w:t></w:r></w:p><w:tbl><w:tblGrid><w:gridCol w:w="300" w:type="dxa"/><w:gridCol w:w="50" w:type="dxa"/><w:gridCol w:w="4500" w:type="dxa"/><w:gridCol w:w="50" w:type="dxa"/><w:gridCol w:w="5000" w:type="dxa"/><w:gridCol w:w="5000" w:type="dxa"/><w:gridCol w:w="5000" w:type="dxa"/></w:tblGrid><w:tblPr><w:tblW w:w="5000" w:type="pct"/><w:tblCellSpacing w:w="0" w:type="dxa"/><w:tblLayout w:type="autofit"/></w:tblPr><w:tr><w:trPr/><w:tc><w:tcPr><w:tcW w:w="300" w:type="pct"/><w:noWrap/></w:tcPr><w:p><w:pPr/></w:p></w:tc><w:tc><w:tcPr><w:tcW w:w="50" w:type="pct"/><w:vAlign w:val="bottom"/><w:noWrap/></w:tcPr><w:p><w:pPr/></w:p></w:tc><w:tc><w:tcPr><w:tcW w:w="4500" w:type="pct"/><w:noWrap/></w:tcPr><w:p><w:pPr/></w:p></w:tc><w:tc><w:tcPr><w:tcW w:w="50" w:type="pct"/><w:vAlign w:val="bottom"/><w:noWrap/></w:tcPr><w:p><w:pPr/></w:p></w:tc><w:tc><w:tcPr><w:tcW w:w="5000" w:type="pct"/><w:noWrap/></w:tcPr><w:p><w:pPr/></w:p></w:tc><w:tc><w:tcPr><w:tcW w:w="5000" w:type="pct"/><w:noWrap/></w:tcPr><w:p><w:pPr/></w:p></w:tc><w:tc><w:tcPr><w:tcW w:w="5000" w:type="pct"/><w:noWrap/></w:tcPr><w:p><w:pPr/></w:p></w:tc></w:tr><w:tr><w:trPr/><w:tc><w:tcPr><w:tcW w:w="5000" w:type="pct"/><w:vAlign w:val="bottom"/><w:gridSpan w:val="3"/><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Page</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gridSpan w:val="3"/><w:noWrap/></w:tcPr><w:p><w:pPr/><w:hyperlink w:anchor="tx211807_1" w:history="1"><w:r><w:rPr/><w:t xml:space="preserve">PART I. FINANCIAL INFORMATION </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2" w:history="1"><w:r><w:rPr/><w:t xml:space="preserve">Unaudited Consolidated Financial Statements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3" w:history="1"><w:r><w:rPr/><w:t xml:space="preserve">Consolidated Balance Sheets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4" w:history="1"><w:r><w:rPr/><w:t xml:space="preserve">Consolidated Statements of Operations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5" w:history="1"><w:r><w:rPr/><w:t xml:space="preserve">Consolidated Statements of Stockholders’ Equity</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6" w:history="1"><w:r><w:rPr/><w:t xml:space="preserve">Consolidated Statements of Cash Flows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7" w:history="1"><w:r><w:rPr/><w:t xml:space="preserve">Notes to Consolidated Financial Statements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8" w:history="1"><w:r><w:rPr/><w:t xml:space="preserve">Management’s Discussion and Analysis of Financial Condition and Results of Operations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9" w:history="1"><w:r><w:rPr/><w:t xml:space="preserve">Quantitative and Qualitative Disclosures About Market Risk</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38</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10" w:history="1"><w:r><w:rPr/><w:t xml:space="preserve">Controls and Procedures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38</w:t></w:r></w:p></w:tc><w:tc><w:tcPr><w:tcW w:w="5000" w:type="pct"/><w:vAlign w:val="bottom"/><w:noWrap/></w:tcPr><w:p><w:pPr/><w:r><w:rPr><w:rFonts w:ascii="Times New Roman" w:hAnsi="Times New Roman" w:eastAsia="Times New Roman" w:cs="Times New Roman"/><w:sz w:val="20"/><w:szCs w:val="20"/></w:rPr><w:t xml:space="preserve"> </w:t></w:r></w:p></w:tc></w:tr><w:tr><w:trPr/><w:tc><w:tcPr><w:tcW w:w="5000" w:type="pct"/><w:gridSpan w:val="3"/><w:noWrap/></w:tcPr><w:p><w:pPr/></w:p></w:tc><w:tc><w:tcPr><w:tcW w:w="5000" w:type="pct"/><w:gridSpan w:val="4"/><w:noWrap/></w:tcPr><w:p><w:pPr/></w:p></w:tc></w:tr><w:tr><w:trPr/><w:tc><w:tcPr><w:tcW w:w="5000" w:type="pct"/><w:vAlign w:val="top"/><w:gridSpan w:val="3"/><w:noWrap/></w:tcPr><w:p><w:pPr/><w:hyperlink w:anchor="tx211807_11" w:history="1"><w:r><w:rPr/><w:t xml:space="preserve">PART II. OTHER INFORMATION </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39</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12" w:history="1"><w:r><w:rPr/><w:t xml:space="preserve">Legal Proceedings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39</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1A</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13" w:history="1"><w:r><w:rPr/><w:t xml:space="preserve">Risk Factors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39</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14" w:history="1"><w:r><w:rPr/><w:t xml:space="preserve">Unregistered Sales of Equity Securities and Use of Proceeds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15" w:history="1"><w:r><w:rPr/><w:t xml:space="preserve">Defaults Upon Senior Securities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16" w:history="1"><w:r><w:rPr/><w:t xml:space="preserve">Mine Safety Disclosures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5.</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17" w:history="1"><w:r><w:rPr/><w:t xml:space="preserve">Other Information</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6.</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x211807_18" w:history="1"><w:r><w:rPr/><w:t xml:space="preserve">Exhibits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42</w:t></w:r></w:p></w:tc><w:tc><w:tcPr><w:tcW w:w="5000" w:type="pct"/><w:vAlign w:val="bottom"/><w:noWrap/></w:tcPr><w:p><w:pPr/><w:r><w:rPr><w:rFonts w:ascii="Times New Roman" w:hAnsi="Times New Roman" w:eastAsia="Times New Roman" w:cs="Times New Roman"/><w:sz w:val="20"/><w:szCs w:val="20"/></w:rPr><w:t xml:space="preserve"> </w:t></w:r></w:p></w:tc></w:tr><w:tr><w:trPr/><w:tc><w:tcPr><w:tcW w:w="5000" w:type="pct"/><w:gridSpan w:val="3"/><w:noWrap/></w:tcPr><w:p><w:pPr/></w:p></w:tc><w:tc><w:tcPr><w:tcW w:w="5000" w:type="pct"/><w:gridSpan w:val="4"/><w:noWrap/></w:tcPr><w:p><w:pPr/></w:p></w:tc></w:tr><w:tr><w:trPr/><w:tc><w:tcPr><w:tcW w:w="5000" w:type="pct"/><w:vAlign w:val="top"/><w:gridSpan w:val="3"/><w:noWrap/></w:tcPr><w:p><w:pPr/><w:hyperlink w:anchor="tx211807_19" w:history="1"><w:r><w:rPr/><w:t xml:space="preserve">SIGNATURES </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43</w:t></w:r></w:p></w:tc><w:tc><w:tcPr><w:tcW w:w="5000" w:type="pct"/><w:vAlign w:val="bottom"/><w:noWrap/></w:tcPr><w:p><w:pPr/><w:r><w:rPr><w:rFonts w:ascii="Times New Roman" w:hAnsi="Times New Roman" w:eastAsia="Times New Roman" w:cs="Times New Roman"/><w:sz w:val="20"/><w:szCs w:val="20"/></w:rPr><w:t xml:space="preserve">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CAUTIONARY NOTE REGARDING FORWARD-LOOKING STATEMENTS </w:t></w:r></w:p><w:p><w:pPr><w:jc w:val="start"/></w:pPr><w:r><w:rPr><w:rFonts w:ascii="Times New Roman" w:hAnsi="Times New Roman" w:eastAsia="Times New Roman" w:cs="Times New Roman"/><w:sz w:val="20"/><w:szCs w:val="20"/></w:rPr><w:t xml:space="preserve">This Quarterly Report on </w:t></w:r></w:p><w:p><w:pPr><w:jc w:val="start"/></w:pPr><w:r><w:rPr><w:rFonts w:ascii="Times New Roman" w:hAnsi="Times New Roman" w:eastAsia="Times New Roman" w:cs="Times New Roman"/><w:sz w:val="20"/><w:szCs w:val="20"/><w:spacing w:val="0"/></w:rPr><w:t xml:space="preserve">Form 10-Q</w:t></w:r></w:p><w:p><w:pPr><w:jc w:val="start"/></w:pPr><w:r><w:rPr><w:rFonts w:ascii="Times New Roman" w:hAnsi="Times New Roman" w:eastAsia="Times New Roman" w:cs="Times New Roman"/><w:sz w:val="20"/><w:szCs w:val="20"/></w:rPr><w:t xml:space="preserve"> contains forward-looking statements. These statements may relate to, but are not limited to, expectations of our future results of operations, business strategies and operations, financing plans, potential growth opportunities,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rPr><w:t xml:space="preserve"> may turn out to be inaccurate. Factors that may cause actual results to differ materially from current expectations include, among other things, those listed under “Risk Factors” and discussed elsewhere in this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rPr><w:t xml:space="preserve"> and in “Part I, Item 1A—Risk Factors” in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2020, as amended. These forward-looking statements speak only as of the date of this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rPr><w:t xml:space="preserve">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SEC after the date of this </w:t></w:r></w:p><w:p><w:pPr><w:jc w:val="start"/></w:pPr><w:r><w:rPr><w:rFonts w:ascii="Times New Roman" w:hAnsi="Times New Roman" w:eastAsia="Times New Roman" w:cs="Times New Roman"/><w:sz w:val="20"/><w:szCs w:val="20"/><w:spacing w:val="0"/></w:rPr><w:t xml:space="preserve">Form 10-Q.</w:t></w:r></w:p><w:p><w:pPr><w:jc w:val="start"/></w:pPr><w:r><w:rPr><w:rFonts w:ascii="Times New Roman" w:hAnsi="Times New Roman" w:eastAsia="Times New Roman" w:cs="Times New Roman"/><w:sz w:val="20"/><w:szCs w:val="20"/></w:rPr><w:t xml:space="preserve"> </w:t></w:r></w:p><w:p><w:pPr><w:jc w:val="start"/></w:pPr><w:r><w:rPr><w:rFonts w:ascii="&quot;Times New Roman&quot;" w:hAnsi="&quot;Times New Roman&quot;" w:eastAsia="&quot;Times New Roman&quot;" w:cs="&quot;Times New Roman&quot;"/><w:sz w:val="20"/><w:szCs w:val="20"/><w:spacing w:val="0"/></w:rPr><w:t xml:space="preserve">As used herein, except as otherwise indicated by context, references to “we,” “us,” “our,” “the Company,” “Organogenesis” and “ORGO” will refer to Organogenesis Holdings Inc. and its subsidiaries.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PART I—FINANCIAL INFORMATION </w:t></w:r></w:p><w:p><w:pPr><w:jc w:val="start"/></w:pPr><w:r><w:rPr><w:rFonts w:ascii="&quot;Times New Roman&quot;" w:hAnsi="&quot;Times New Roman&quot;" w:eastAsia="&quot;Times New Roman&quot;" w:cs="&quot;Times New Roman&quot;"/><w:sz w:val="20"/><w:szCs w:val="20"/><w:b w:val="1"/><w:bCs w:val="1"/><w:spacing w:val="0"/></w:rPr><w:t xml:space="preserve">Item 1. Unaudited Consolidated Financial Statements. </w:t></w:r></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CONSOLIDATED BALANCE SHEETS </w:t></w:r></w:p><w:p><w:pPr><w:jc w:val="center"/></w:pPr><w:r><w:rPr><w:rFonts w:ascii="&quot;Times New Roman&quot;" w:hAnsi="&quot;Times New Roman&quot;" w:eastAsia="&quot;Times New Roman&quot;" w:cs="&quot;Times New Roman&quot;"/><w:sz w:val="20"/><w:szCs w:val="20"/><w:b w:val="1"/><w:bCs w:val="1"/><w:spacing w:val="0"/></w:rPr><w:t xml:space="preserve">(unaudited) </w:t></w:r></w:p><w:p><w:pPr><w:jc w:val="center"/></w:pPr><w:r><w:rPr><w:rFonts w:ascii="&quot;Times New Roman&quot;" w:hAnsi="&quot;Times New Roman&quot;" w:eastAsia="&quot;Times New Roman&quot;" w:cs="&quot;Times New Roman&quot;"/><w:sz w:val="20"/><w:szCs w:val="20"/><w:b w:val="1"/><w:bCs w:val="1"/><w:spacing w:val="0"/></w:rPr><w:t xml:space="preserve">(amounts in thousands, except share and per share data)</w:t></w:r></w:p><w:p><w:pPr><w:jc w:val="start"/></w:pPr><w:r><w:rPr><w:sz w:val="24"/><w:szCs w:val="24"/><w:spacing w:val="0"/></w:rPr><w:t xml:space="preserve"> </w:t></w:r></w:p><w:tbl><w:tblGrid><w:gridCol w:w="4100" w:type="dxa"/><w:gridCol w:w="150" w:type="dxa"/><w:gridCol w:w="5000" w:type="dxa"/><w:gridCol w:w="5000" w:type="dxa"/><w:gridCol w:w="5000" w:type="dxa"/><w:gridCol w:w="150" w:type="dxa"/><w:gridCol w:w="5000" w:type="dxa"/><w:gridCol w:w="5000" w:type="dxa"/><w:gridCol w:w="5000" w:type="dxa"/></w:tblGrid><w:tblPr><w:tblW w:w="5000" w:type="pct"/><w:tblCellSpacing w:w="0" w:type="dxa"/><w:tblLayout w:type="autofit"/></w:tblPr><w:tr><w:trPr/><w:tc><w:tcPr><w:tcW w:w="41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September 30,</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5000" w:type="pct"/><w:vAlign w:val="bottom"/><w:noWrap/></w:tcPr><w:p><w:pPr/><w:r><w:rPr><w:rFonts w:ascii="Times New Roman" w:hAnsi="Times New Roman" w:eastAsia="Times New Roman" w:cs="Times New Roman"/><w:sz w:val="16"/><w:szCs w:val="16"/></w:rPr><w:t xml:space="preserve"> </w:t></w:r></w:p></w:tc></w:tr><w:tr><w:trPr/><w:tc><w:tcPr><w:tcW w:w="4100" w:type="pct"/><w:vAlign w:val="top"/><w:noWrap/></w:tcPr><w:p><w:pPr><w:spacing w:line="20" w:lineRule="exact"/></w:pPr><w:r><w:rPr><w:rFonts w:ascii="&quot;Times New Roman&quot;" w:hAnsi="&quot;Times New Roman&quot;" w:eastAsia="&quot;Times New Roman&quot;" w:cs="&quot;Times New Roman&quot;"/><w:sz w:val="2"/><w:szCs w:val="2"/><w:b w:val="1"/><w:bCs w:val="1"/></w:rPr><w:t xml:space="preserve"> </w:t></w:r></w:p></w:tc><w:tc><w:tcPr><w:tcW w:w="150" w:type="pct"/><w:vAlign w:val="bottom"/><w:noWrap/></w:tcPr><w:p><w:pPr><w:spacing w:line="20" w:lineRule="exact"/></w:pPr><w:r><w:rPr><w:rFonts w:ascii="&quot;Times New Roman&quot;" w:hAnsi="&quot;Times New Roman&quot;" w:eastAsia="&quot;Times New Roman&quot;" w:cs="&quot;Times New Roman&quot;"/><w:sz w:val="2"/><w:szCs w:val="2"/></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rPr><w:t xml:space="preserve"> </w:t></w:r></w:p></w:tc><w:tc><w:tcPr><w:tcW w:w="150" w:type="pct"/><w:vAlign w:val="bottom"/><w:noWrap/></w:tcPr><w:p><w:pPr><w:spacing w:line="20" w:lineRule="exact"/></w:pPr><w:r><w:rPr><w:rFonts w:ascii="&quot;Times New Roman&quot;" w:hAnsi="&quot;Times New Roman&quot;" w:eastAsia="&quot;Times New Roman&quot;" w:cs="&quot;Times New Roman&quot;"/><w:sz w:val="2"/><w:szCs w:val="2"/></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Assets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Current assets: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Cash</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102,237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84,394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Restricted cash</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487</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412</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Accounts receivable, net</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74,583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56,804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Inventory</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29,495</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27,799</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Prepaid expenses and other current assets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5,033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4,935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Total current assets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211,835</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174,344</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Property and equipment, net</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74,774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55,792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Intangible assets, net</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26,896</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30,622</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Goodwill</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28,772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28,772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rPr><w:t xml:space="preserve">Operating lease </w:t></w:r><w:r><w:rPr><w:rFonts w:ascii="&quot;Times New Roman&quot;" w:hAnsi="&quot;Times New Roman&quot;" w:eastAsia="&quot;Times New Roman&quot;" w:cs="&quot;Times New Roman&quot;"/><w:sz w:val="20"/><w:szCs w:val="20"/><w:spacing w:val="0"/></w:rPr><w:t xml:space="preserve">right-of-use</w:t></w:r><w:r><w:rPr><w:rFonts w:ascii="&quot;Times New Roman&quot;" w:hAnsi="&quot;Times New Roman&quot;" w:eastAsia="&quot;Times New Roman&quot;" w:cs="&quot;Times New Roman&quot;"/><w:sz w:val="20"/><w:szCs w:val="20"/></w:rPr><w:t xml:space="preserve"> assets, net</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26,522</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Deferred tax asset, net</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Other assets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1,606</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670</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assets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370,423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290,218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noWrap/></w:tcPr><w:p><w:pPr/><w:r><w:rPr><w:rFonts w:ascii="&quot;Times New Roman&quot;" w:hAnsi="&quot;Times New Roman&quot;" w:eastAsia="&quot;Times New Roman&quot;" w:cs="&quot;Times New Roman&quot;"/><w:sz w:val="20"/><w:szCs w:val="20"/><w:b w:val="1"/><w:bCs w:val="1"/><w:spacing w:val="0"/></w:rPr><w:t xml:space="preserve">Liabilities and Stockholders’ Equity</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Current liabilities: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Deferred acquisition consideration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483</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Current portion of term loan</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2,186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16,666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Current portion of finance lease obligations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8,531</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3,619</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Current portion of operating lease obligations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4,667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Current portion of deferred rent and lease incentive obligation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95</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Accounts payable</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28,488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23,381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Accrued expenses and other current liabilities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37,128</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23,973</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current liabilities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81,000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68,217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Line of credit</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10,000</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Term loan, net of current portion</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71,667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43,044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Deferred acquisition consideration, net of current portion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1,436</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1,436</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Earnout liability</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3,985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Deferred rent and lease incentive obligation, net of current portion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2,315</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Finance lease obligations, net of current portion</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831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11,442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Operating lease obligations, net of current portion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24,204</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 liabilities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2,111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7,971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Total liabilities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181,249</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148,410</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Commitments and contingencies (Note 18)</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Stockholders’ equity:</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Preferred stock, $0.0001 par value; 1,000,000 shares authorized; none issued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Common stock, $0.0001 par value; 400,000,000 shares authorized; 129,365,209 and 128,460,381 shares issued; 128,636,661 and 127,731,833 shares outstanding at September 30, 2021 and December 31, 2020, respectively.</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hd w:val="clear" w:fill="CCEEFF"/></w:rPr><w:t xml:space="preserve">Additional </w:t></w:r><w:r><w:rPr><w:rFonts w:ascii="&quot;Times New Roman&quot;" w:hAnsi="&quot;Times New Roman&quot;" w:eastAsia="&quot;Times New Roman&quot;" w:cs="&quot;Times New Roman&quot;"/><w:sz w:val="20"/><w:szCs w:val="20"/><w:spacing w:val="0"/><w:shd w:val="clear" w:fill="CCEEFF"/></w:rPr><w:t xml:space="preserve">paid-in</w:t></w:r><w:r><w:rPr><w:rFonts w:ascii="&quot;Times New Roman&quot;" w:hAnsi="&quot;Times New Roman&quot;" w:eastAsia="&quot;Times New Roman&quot;" w:cs="&quot;Times New Roman&quot;"/><w:sz w:val="20"/><w:szCs w:val="20"/><w:shd w:val="clear" w:fill="CCEEFF"/></w:rPr><w:t xml:space="preserve"> capital</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300,989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296,830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Accumulated deficit</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(111,828</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(155,035</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stockholders’ equity</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189,174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141,808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Total liabilities and stockholders’ equity</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370,423</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290,218</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bl><w:p><w:pPr><w:jc w:val="center"/></w:pPr><w:r><w:rPr><w:rFonts w:ascii="&quot;Times New Roman&quot;" w:hAnsi="&quot;Times New Roman&quot;" w:eastAsia="&quot;Times New Roman&quot;" w:cs="&quot;Times New Roman&quot;"/><w:sz w:val="20"/><w:szCs w:val="20"/><w:spacing w:val="0"/></w:rPr><w:t xml:space="preserve">The accompanying notes are an integral part of these unaudited consolidated financial statements.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4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CONSOLIDATED STATEMENTS OF OPERATIONS </w:t></w:r></w:p><w:p><w:pPr><w:jc w:val="center"/></w:pPr><w:r><w:rPr><w:rFonts w:ascii="&quot;Times New Roman&quot;" w:hAnsi="&quot;Times New Roman&quot;" w:eastAsia="&quot;Times New Roman&quot;" w:cs="&quot;Times New Roman&quot;"/><w:sz w:val="20"/><w:szCs w:val="20"/><w:b w:val="1"/><w:bCs w:val="1"/><w:spacing w:val="0"/></w:rPr><w:t xml:space="preserve">(unaudited) </w:t></w:r></w:p><w:p><w:pPr><w:jc w:val="center"/></w:pPr><w:r><w:rPr><w:rFonts w:ascii="&quot;Times New Roman&quot;" w:hAnsi="&quot;Times New Roman&quot;" w:eastAsia="&quot;Times New Roman&quot;" w:cs="&quot;Times New Roman&quot;"/><w:sz w:val="20"/><w:szCs w:val="20"/><w:b w:val="1"/><w:bCs w:val="1"/><w:spacing w:val="0"/></w:rPr><w:t xml:space="preserve">(amounts in thousands, except share and per share data) </w:t></w:r></w:p><w:p><w:pPr><w:jc w:val="start"/></w:pPr><w:r><w:rPr><w:sz w:val="24"/><w:szCs w:val="24"/><w:spacing w:val="0"/></w:rPr><w:t xml:space="preserve"> </w:t></w:r></w:p><w:tbl><w:tblGrid><w:gridCol w:w="2800" w:type="dxa"/><w:gridCol w:w="250" w:type="dxa"/><w:gridCol w:w="5000" w:type="dxa"/><w:gridCol w:w="5000" w:type="dxa"/><w:gridCol w:w="5000" w:type="dxa"/><w:gridCol w:w="250" w:type="dxa"/><w:gridCol w:w="5000" w:type="dxa"/><w:gridCol w:w="5000" w:type="dxa"/><w:gridCol w:w="5000" w:type="dxa"/><w:gridCol w:w="250" w:type="dxa"/><w:gridCol w:w="5000" w:type="dxa"/><w:gridCol w:w="5000" w:type="dxa"/><w:gridCol w:w="5000" w:type="dxa"/><w:gridCol w:w="250" w:type="dxa"/><w:gridCol w:w="5000" w:type="dxa"/><w:gridCol w:w="5000" w:type="dxa"/><w:gridCol w:w="5000" w:type="dxa"/></w:tblGrid><w:tblPr><w:tblW w:w="5000" w:type="pct"/><w:tblCellSpacing w:w="0" w:type="dxa"/><w:tblLayout w:type="autofit"/></w:tblPr><w:tr><w:trPr/><w:tc><w:tcPr><w:tcW w:w="2800" w:type="pct"/><w:noWrap/></w:tcPr><w:p><w:pPr/></w:p></w:tc><w:tc><w:tcPr><w:tcW w:w="250" w:type="pct"/><w:vAlign w:val="bottom"/><w:noWrap/></w:tcPr><w:p><w:pPr/></w:p></w:tc><w:tc><w:tcPr><w:tcW w:w="5000" w:type="pct"/><w:noWrap/></w:tcPr><w:p><w:pPr/></w:p></w:tc><w:tc><w:tcPr><w:tcW w:w="5000" w:type="pct"/><w:noWrap/></w:tcPr><w:p><w:pPr/></w:p></w:tc><w:tc><w:tcPr><w:tcW w:w="5000" w:type="pct"/><w:noWrap/></w:tcPr><w:p><w:pPr/></w:p></w:tc><w:tc><w:tcPr><w:tcW w:w="250" w:type="pct"/><w:vAlign w:val="bottom"/><w:noWrap/></w:tcPr><w:p><w:pPr/></w:p></w:tc><w:tc><w:tcPr><w:tcW w:w="5000" w:type="pct"/><w:noWrap/></w:tcPr><w:p><w:pPr/></w:p></w:tc><w:tc><w:tcPr><w:tcW w:w="5000" w:type="pct"/><w:noWrap/></w:tcPr><w:p><w:pPr/></w:p></w:tc><w:tc><w:tcPr><w:tcW w:w="5000" w:type="pct"/><w:noWrap/></w:tcPr><w:p><w:pPr/></w:p></w:tc><w:tc><w:tcPr><w:tcW w:w="250" w:type="pct"/><w:vAlign w:val="bottom"/><w:noWrap/></w:tcPr><w:p><w:pPr/></w:p></w:tc><w:tc><w:tcPr><w:tcW w:w="5000" w:type="pct"/><w:noWrap/></w:tcPr><w:p><w:pPr/></w:p></w:tc><w:tc><w:tcPr><w:tcW w:w="5000" w:type="pct"/><w:noWrap/></w:tcPr><w:p><w:pPr/></w:p></w:tc><w:tc><w:tcPr><w:tcW w:w="5000" w:type="pct"/><w:noWrap/></w:tcPr><w:p><w:pPr/></w:p></w:tc><w:tc><w:tcPr><w:tcW w:w="2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September 30,</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6"/><w:noWrap/></w:tcPr><w:p><w:pPr><w:jc w:val="center"/></w:pPr><w:r><w:rPr><w:rFonts w:ascii="Times New Roman" w:hAnsi="Times New Roman" w:eastAsia="Times New Roman" w:cs="Times New Roman"/><w:sz w:val="16"/><w:szCs w:val="16"/><w:b w:val="1"/><w:bCs w:val="1"/><w:spacing w:val="0"/></w:rPr><w:t xml:space="preserve">Nine Months Ended</w:t></w:r><w:br/><w:r><w:rPr><w:rFonts w:ascii="Times New Roman" w:hAnsi="Times New Roman" w:eastAsia="Times New Roman" w:cs="Times New Roman"/><w:sz w:val="16"/><w:szCs w:val="16"/><w:b w:val="1"/><w:bCs w:val="1"/><w:spacing w:val="0"/></w:rPr><w:t xml:space="preserve">September 30,</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revenue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113,753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100,799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339,501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231,491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Cost of goods sold</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26,167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22,964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81,602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61,799</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Gross profit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87,586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77,835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257,899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169,692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Operating expenses: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Selling, general and administrative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62,369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51,325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182,950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150,797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Research and development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8,953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3,709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22,482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13,787</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operating expenses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71,322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55,034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205,432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164,584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Income from operations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16,264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22,801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52,467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5,108</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 expense, net: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Interest expense, net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(1,482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(2,969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(6,383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(8,391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Loss on extinguishment of debt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(1,883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(1,883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Gain on settlement of deferred acquisition consideration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951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2,246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 income, net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Total other expense, net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(3,384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(1,974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(8,270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(6,055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 (loss) before income taxes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12,880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20,827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44,197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(947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Income tax expense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(303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(990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(134</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 (loss)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12,577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20,755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43,207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(1,081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Net income (loss), per share: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Basic</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0.10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0.20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0.34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(0.01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Diluted</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0.09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0.19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0.32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(0.01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Weighted-average common shares outstanding</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Basic</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128,546,301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105,040,035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128,219,674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104,748,297</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Diluted</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133,850,216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108,489,768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133,766,004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104,748,297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bl><w:p><w:pPr><w:jc w:val="center"/></w:pPr><w:r><w:rPr><w:rFonts w:ascii="&quot;Times New Roman&quot;" w:hAnsi="&quot;Times New Roman&quot;" w:eastAsia="&quot;Times New Roman&quot;" w:cs="&quot;Times New Roman&quot;"/><w:sz w:val="20"/><w:szCs w:val="20"/><w:spacing w:val="0"/></w:rPr><w:t xml:space="preserve">The accompanying notes are an integral part of these unaudited consolidated financial statements.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5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CONSOLIDATED STATEMENTS OF STOCKHOLDERS’ EQUITY </w:t></w:r></w:p><w:p><w:pPr><w:jc w:val="center"/></w:pPr><w:r><w:rPr><w:rFonts w:ascii="&quot;Times New Roman&quot;" w:hAnsi="&quot;Times New Roman&quot;" w:eastAsia="&quot;Times New Roman&quot;" w:cs="&quot;Times New Roman&quot;"/><w:sz w:val="20"/><w:szCs w:val="20"/><w:b w:val="1"/><w:bCs w:val="1"/><w:spacing w:val="0"/></w:rPr><w:t xml:space="preserve">(unaudited) </w:t></w:r></w:p><w:p><w:pPr><w:jc w:val="center"/></w:pPr><w:r><w:rPr><w:rFonts w:ascii="&quot;Times New Roman&quot;" w:hAnsi="&quot;Times New Roman&quot;" w:eastAsia="&quot;Times New Roman&quot;" w:cs="&quot;Times New Roman&quot;"/><w:sz w:val="20"/><w:szCs w:val="20"/><w:b w:val="1"/><w:bCs w:val="1"/><w:spacing w:val="0"/></w:rPr><w:t xml:space="preserve">(amounts in thousands, except share data) </w:t></w:r></w:p><w:p><w:pPr><w:jc w:val="start"/></w:pPr><w:r><w:rPr><w:sz w:val="24"/><w:szCs w:val="24"/><w:spacing w:val="0"/></w:rPr><w:t xml:space="preserve"> </w:t></w:r></w:p><w:tbl><w:tblGrid><w:gridCol w:w="275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tblGrid><w:tblPr><w:tblW w:w="5000" w:type="pct"/><w:tblCellSpacing w:w="0" w:type="dxa"/><w:tblLayout w:type="autofit"/></w:tblPr><w:tr><w:trPr/><w:tc><w:tcPr><w:tcW w:w="275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18"/><w:noWrap/></w:tcPr><w:p><w:pPr><w:jc w:val="center"/></w:pPr><w:r><w:rPr><w:rFonts w:ascii="Times New Roman" w:hAnsi="Times New Roman" w:eastAsia="Times New Roman" w:cs="Times New Roman"/><w:sz w:val="16"/><w:szCs w:val="16"/><w:b w:val="1"/><w:bCs w:val="1"/><w:spacing w:val="0"/></w:rPr><w:t xml:space="preserve">Three and Nine Months Ended September 30, 2021</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Additional</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6"/><w:noWrap/></w:tcPr><w:p><w:pPr><w:jc w:val="center"/></w:pPr><w:r><w:rPr><w:rFonts w:ascii="Times New Roman" w:hAnsi="Times New Roman" w:eastAsia="Times New Roman" w:cs="Times New Roman"/><w:sz w:val="16"/><w:szCs w:val="16"/><w:b w:val="1"/><w:bCs w:val="1"/><w:spacing w:val="0"/></w:rPr><w:t xml:space="preserve">Common Stock</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Paid-in</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Accumulated</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Total</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Shares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Amount</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Capital</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Deficit</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Stockholders’ Equity</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r><w:tr><w:trPr/><w:tc><w:tcPr><w:tcW w:w="275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gridSpan w:val="2"/><w:noWrap/></w:tcPr><w:p><w:pPr><w:jc w:val="center"/><w:spacing w:line="20" w:lineRule="exact"/></w:pPr><w:r><w:rPr><w:rFonts w:ascii="&quot;Times New Roman&quot;" w:hAnsi="&quot;Times New Roman&quot;" w:eastAsia="&quot;Times New Roman&quot;" w:cs="&quot;Times New Roman&quot;"/><w:sz w:val="2"/><w:szCs w:val="2"/><w:b w:val="1"/><w:bCs w:val="1"/><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gridSpan w:val="2"/><w:noWrap/></w:tcPr><w:p><w:pPr><w:jc w:val="center"/><w:spacing w:line="20" w:lineRule="exact"/></w:pPr><w:r><w:rPr><w:rFonts w:ascii="&quot;Times New Roman&quot;" w:hAnsi="&quot;Times New Roman&quot;" w:eastAsia="&quot;Times New Roman&quot;" w:cs="&quot;Times New Roman&quot;"/><w:sz w:val="2"/><w:szCs w:val="2"/><w:b w:val="1"/><w:bCs w:val="1"/><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gridSpan w:val="2"/><w:noWrap/></w:tcPr><w:p><w:pPr><w:jc w:val="center"/><w:spacing w:line="20" w:lineRule="exact"/></w:pPr><w:r><w:rPr><w:rFonts w:ascii="&quot;Times New Roman&quot;" w:hAnsi="&quot;Times New Roman&quot;" w:eastAsia="&quot;Times New Roman&quot;" w:cs="&quot;Times New Roman&quot;"/><w:sz w:val="2"/><w:szCs w:val="2"/><w:b w:val="1"/><w:bCs w:val="1"/><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gridSpan w:val="2"/><w:noWrap/></w:tcPr><w:p><w:pPr><w:jc w:val="center"/><w:spacing w:line="20" w:lineRule="exact"/></w:pPr><w:r><w:rPr><w:rFonts w:ascii="&quot;Times New Roman&quot;" w:hAnsi="&quot;Times New Roman&quot;" w:eastAsia="&quot;Times New Roman&quot;" w:cs="&quot;Times New Roman&quot;"/><w:sz w:val="2"/><w:szCs w:val="2"/><w:b w:val="1"/><w:bCs w:val="1"/><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gridSpan w:val="2"/><w:noWrap/></w:tcPr><w:p><w:pPr><w:jc w:val="center"/><w:spacing w:line="20" w:lineRule="exact"/></w:pPr><w:r><w:rPr><w:rFonts w:ascii="&quot;Times New Roman&quot;" w:hAnsi="&quot;Times New Roman&quot;" w:eastAsia="&quot;Times New Roman&quot;" w:cs="&quot;Times New Roman&quot;"/><w:sz w:val="2"/><w:szCs w:val="2"/><w:b w:val="1"/><w:bCs w:val="1"/><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June 30, 2021 (as reported)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128,283,241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299,038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(120,129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178,922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rPr><w:t xml:space="preserve">Adjustment due to right of use asset amortization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w:t></w:r><w:r><w:rPr><w:rFonts w:ascii="Times New Roman" w:hAnsi="Times New Roman" w:eastAsia="Times New Roman" w:cs="Times New Roman"/><w:sz w:val="20"/><w:szCs w:val="20"/><w:spacing w:val="0"/></w:rPr><w:t xml:space="preserve"> </w:t></w:r><w:r><w:rPr><w:rFonts w:ascii="Times New Roman" w:hAnsi="Times New Roman" w:eastAsia="Times New Roman" w:cs="Times New Roman"/><w:sz w:val="20"/><w:szCs w:val="20"/><w:spacing w:val="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w:t></w:r><w:r><w:rPr><w:rFonts w:ascii="Times New Roman" w:hAnsi="Times New Roman" w:eastAsia="Times New Roman" w:cs="Times New Roman"/><w:sz w:val="20"/><w:szCs w:val="20"/><w:spacing w:val="0"/></w:rPr><w:t xml:space="preserve"> </w:t></w:r><w:r><w:rPr><w:rFonts w:ascii="Times New Roman" w:hAnsi="Times New Roman" w:eastAsia="Times New Roman" w:cs="Times New Roman"/><w:sz w:val="20"/><w:szCs w:val="20"/><w:spacing w:val="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(4,276</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(4,276</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June 30, 2021 (as adjusted)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128,283,241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299,038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(124,405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174,646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Exercise of stock options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353,420</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910</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910</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Stock-based compensation expense</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1,041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1,041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shd w:val="clear" w:fill="rgba(255, 255, 255, 0)"/><w:noWrap/></w:tcPr><w:p><w:pPr/><w:r><w:rPr><w:rFonts w:ascii="&quot;Times New Roman&quot;" w:hAnsi="&quot;Times New Roman&quot;" w:eastAsia="&quot;Times New Roman&quot;" w:cs="&quot;Times New Roman&quot;"/><w:sz w:val="20"/><w:szCs w:val="20"/><w:spacing w:val="0"/><w:shd w:val="clear" w:fill="rgba(255, 255, 255, 0)"/></w:rPr><w:t xml:space="preserve">Net income</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12,577</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12,577</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r><w:tr><w:trPr/><w:tc><w:tcPr><w:tcW w:w="27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1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1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1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1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1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September 30, 2021</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tcBorders><w:bottom w:val="single" w:sz="50" w:color="double"/></w:tcBorders><w:shd w:val="clear" w:fill="CCEEFF"/><w:noWrap/></w:tcPr><w:p><w:pPr/><w:r><w:rPr><w:rFonts w:ascii="Times New Roman" w:hAnsi="Times New Roman" w:eastAsia="Times New Roman" w:cs="Times New Roman"/><w:sz w:val="20"/><w:szCs w:val="20"/><w:shd w:val="clear" w:fill="CCEEFF"/></w:rPr><w:t xml:space="preserve"> </w:t></w:r></w:p></w:tc><w:tc><w:tcPr><w:tcW w:w="5000" w:type="pct"/><w:vAlign w:val="bottom"/><w:tcBorders><w:bottom w:val="single" w:sz="50" w:color="double"/></w:tcBorders><w:shd w:val="clear" w:fill="CCEEFF"/><w:noWrap/></w:tcPr><w:p><w:pPr><w:jc w:val="end"/></w:pPr><w:r><w:rPr><w:rFonts w:ascii="Times New Roman" w:hAnsi="Times New Roman" w:eastAsia="Times New Roman" w:cs="Times New Roman"/><w:sz w:val="20"/><w:szCs w:val="20"/><w:shd w:val="clear" w:fill="CCEEFF"/></w:rPr><w:t xml:space="preserve">128,636,661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tcBorders><w:bottom w:val="single" w:sz="50" w:color="double"/></w:tcBorders><w:shd w:val="clear" w:fill="CCEEFF"/><w:noWrap/></w:tcPr><w:p><w:pPr/><w:r><w:rPr><w:rFonts w:ascii="Times New Roman" w:hAnsi="Times New Roman" w:eastAsia="Times New Roman" w:cs="Times New Roman"/><w:sz w:val="20"/><w:szCs w:val="20"/><w:shd w:val="clear" w:fill="CCEEFF"/></w:rPr><w:t xml:space="preserve">$</w:t></w:r></w:p></w:tc><w:tc><w:tcPr><w:tcW w:w="5000" w:type="pct"/><w:vAlign w:val="bottom"/><w:tcBorders><w:bottom w:val="single" w:sz="50" w:color="double"/></w:tcBorders><w:shd w:val="clear" w:fill="CCEEFF"/><w:noWrap/></w:tcPr><w:p><w:pPr><w:jc w:val="end"/></w:pPr><w:r><w:rPr><w:rFonts w:ascii="Times New Roman" w:hAnsi="Times New Roman" w:eastAsia="Times New Roman" w:cs="Times New Roman"/><w:sz w:val="20"/><w:szCs w:val="20"/><w:shd w:val="clear" w:fill="CCEEFF"/></w:rPr><w:t xml:space="preserve">13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tcBorders><w:bottom w:val="single" w:sz="50" w:color="double"/></w:tcBorders><w:shd w:val="clear" w:fill="CCEEFF"/><w:noWrap/></w:tcPr><w:p><w:pPr/><w:r><w:rPr><w:rFonts w:ascii="Times New Roman" w:hAnsi="Times New Roman" w:eastAsia="Times New Roman" w:cs="Times New Roman"/><w:sz w:val="20"/><w:szCs w:val="20"/><w:shd w:val="clear" w:fill="CCEEFF"/></w:rPr><w:t xml:space="preserve">$</w:t></w:r></w:p></w:tc><w:tc><w:tcPr><w:tcW w:w="5000" w:type="pct"/><w:vAlign w:val="bottom"/><w:tcBorders><w:bottom w:val="single" w:sz="50" w:color="double"/></w:tcBorders><w:shd w:val="clear" w:fill="CCEEFF"/><w:noWrap/></w:tcPr><w:p><w:pPr><w:jc w:val="end"/></w:pPr><w:r><w:rPr><w:rFonts w:ascii="Times New Roman" w:hAnsi="Times New Roman" w:eastAsia="Times New Roman" w:cs="Times New Roman"/><w:sz w:val="20"/><w:szCs w:val="20"/><w:shd w:val="clear" w:fill="CCEEFF"/></w:rPr><w:t xml:space="preserve">300,989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tcBorders><w:bottom w:val="single" w:sz="50" w:color="double"/></w:tcBorders><w:shd w:val="clear" w:fill="CCEEFF"/><w:noWrap/></w:tcPr><w:p><w:pPr/><w:r><w:rPr><w:rFonts w:ascii="Times New Roman" w:hAnsi="Times New Roman" w:eastAsia="Times New Roman" w:cs="Times New Roman"/><w:sz w:val="20"/><w:szCs w:val="20"/><w:shd w:val="clear" w:fill="CCEEFF"/></w:rPr><w:t xml:space="preserve">$</w:t></w:r></w:p></w:tc><w:tc><w:tcPr><w:tcW w:w="5000" w:type="pct"/><w:vAlign w:val="bottom"/><w:tcBorders><w:bottom w:val="single" w:sz="50" w:color="double"/></w:tcBorders><w:shd w:val="clear" w:fill="CCEEFF"/><w:noWrap/></w:tcPr><w:p><w:pPr><w:jc w:val="end"/></w:pPr><w:r><w:rPr><w:rFonts w:ascii="Times New Roman" w:hAnsi="Times New Roman" w:eastAsia="Times New Roman" w:cs="Times New Roman"/><w:sz w:val="20"/><w:szCs w:val="20"/><w:shd w:val="clear" w:fill="CCEEFF"/></w:rPr><w:t xml:space="preserve">(111,828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tcBorders><w:bottom w:val="single" w:sz="50" w:color="double"/></w:tcBorders><w:shd w:val="clear" w:fill="CCEEFF"/><w:noWrap/></w:tcPr><w:p><w:pPr/><w:r><w:rPr><w:rFonts w:ascii="Times New Roman" w:hAnsi="Times New Roman" w:eastAsia="Times New Roman" w:cs="Times New Roman"/><w:sz w:val="20"/><w:szCs w:val="20"/><w:shd w:val="clear" w:fill="CCEEFF"/></w:rPr><w:t xml:space="preserve">$</w:t></w:r></w:p></w:tc><w:tc><w:tcPr><w:tcW w:w="5000" w:type="pct"/><w:vAlign w:val="bottom"/><w:tcBorders><w:bottom w:val="single" w:sz="50" w:color="double"/></w:tcBorders><w:shd w:val="clear" w:fill="CCEEFF"/><w:noWrap/></w:tcPr><w:p><w:pPr><w:jc w:val="end"/></w:pPr><w:r><w:rPr><w:rFonts w:ascii="Times New Roman" w:hAnsi="Times New Roman" w:eastAsia="Times New Roman" w:cs="Times New Roman"/><w:sz w:val="20"/><w:szCs w:val="20"/><w:shd w:val="clear" w:fill="CCEEFF"/></w:rPr><w:t xml:space="preserve">189,174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shd w:val="clear" w:fill="rgba(255, 255, 255, 0)"/><w:noWrap/></w:tcPr><w:p><w:pPr/><w:r><w:rPr><w:rFonts w:ascii="&quot;Times New Roman&quot;" w:hAnsi="&quot;Times New Roman&quot;" w:eastAsia="&quot;Times New Roman&quot;" w:cs="&quot;Times New Roman&quot;"/><w:sz w:val="20"/><w:szCs w:val="20"/><w:b w:val="1"/><w:bCs w:val="1"/><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r><w:tr><w:trPr/><w:tc><w:tcPr><w:tcW w:w="2750" w:type="pct"/><w:vAlign w:val="top"/><w:shd w:val="clear" w:fill="rgba(255, 255, 255, 0)"/><w:noWrap/></w:tcPr><w:p><w:pPr/><w:r><w:rPr><w:rFonts w:ascii="&quot;Times New Roman&quot;" w:hAnsi="&quot;Times New Roman&quot;" w:eastAsia="&quot;Times New Roman&quot;" w:cs="&quot;Times New Roman&quot;"/><w:sz w:val="20"/><w:szCs w:val="20"/><w:b w:val="1"/><w:bCs w:val="1"/><w:spacing w:val="0"/><w:shd w:val="clear" w:fill="rgba(255, 255, 255, 0)"/></w:rPr><w:t xml:space="preserve">Balance as of December 31, 2020 (as reported)</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127,731,833</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13</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299,129</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(153,058</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146,084</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Adjustment due to Private Warrant reclassification</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shd w:val="clear" w:fill="rgba(255, 255, 255, 0)"/><w:noWrap/></w:tcPr><w:p><w:pPr/><w:r><w:rPr><w:rFonts w:ascii="&quot;Times New Roman&quot;" w:hAnsi="&quot;Times New Roman&quot;" w:eastAsia="&quot;Times New Roman&quot;" w:cs="&quot;Times New Roman&quot;"/><w:sz w:val="20"/><w:szCs w:val="20"/><w:shd w:val="clear" w:fill="rgba(255, 255, 255, 0)"/></w:rPr><w:t xml:space="preserve">Adjustment due to right of use asset amortization</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(4,276</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(4,276</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r><w:tr><w:trPr/><w:tc><w:tcPr><w:tcW w:w="27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1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1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1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1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1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December 31, 2020 (as adjusted)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127,731,833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296,830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(155,035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141,808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shd w:val="clear" w:fill="rgba(255, 255, 255, 0)"/><w:noWrap/></w:tcPr><w:p><w:pPr/><w:r><w:rPr><w:rFonts w:ascii="&quot;Times New Roman&quot;" w:hAnsi="&quot;Times New Roman&quot;" w:eastAsia="&quot;Times New Roman&quot;" w:cs="&quot;Times New Roman&quot;"/><w:sz w:val="20"/><w:szCs w:val="20"/><w:spacing w:val="0"/><w:shd w:val="clear" w:fill="rgba(255, 255, 255, 0)"/></w:rPr><w:t xml:space="preserve">Exercise of stock options</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716,927</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2,115</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2,115</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r><w:tr><w:trPr/><w:tc><w:tcPr><w:tcW w:w="2750" w:type="pct"/><w:vAlign w:val="top"/><w:shd w:val="clear" w:fill="CCEEFF"/><w:noWrap/></w:tcPr><w:p><w:pPr><w:ind w:left="0" w:right="0" w:firstLine="0" w:hanging="0"/></w:pPr><w:r><w:rPr><w:rFonts w:ascii="&quot;Times New Roman&quot;" w:hAnsi="&quot;Times New Roman&quot;" w:eastAsia="&quot;Times New Roman&quot;" w:cs="&quot;Times New Roman&quot;"/><w:sz w:val="20"/><w:szCs w:val="20"/><w:spacing w:val="0"/><w:shd w:val="clear" w:fill="CCEEFF"/></w:rPr><w:t xml:space="preserve">Vesting of RSUs, net of shares surrendered to pay taxes</w:t></w:r></w:p></w:tc><w:tc><w:tcPr><w:tcW w:w="15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c><w:tcPr><w:tcW w:w="500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ind w:left="0" w:right="0" w:firstLine="0" w:hanging="0"/></w:pPr><w:r><w:rPr><w:rFonts w:ascii="Times New Roman" w:hAnsi="Times New Roman" w:eastAsia="Times New Roman" w:cs="Times New Roman"/><w:sz w:val="20"/><w:szCs w:val="20"/><w:shd w:val="clear" w:fill="CCEEFF"/></w:rPr><w:t xml:space="preserve">187,901</w:t></w:r></w:p></w:tc><w:tc><w:tcPr><w:tcW w:w="500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c><w:tcPr><w:tcW w:w="15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c><w:tcPr><w:tcW w:w="500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ind w:left="0" w:right="0" w:firstLine="0" w:hanging="0"/></w:pPr><w:r><w:rPr><w:rFonts w:ascii="Times New Roman" w:hAnsi="Times New Roman" w:eastAsia="Times New Roman" w:cs="Times New Roman"/><w:sz w:val="20"/><w:szCs w:val="20"/><w:shd w:val="clear" w:fill="CCEEFF"/></w:rPr><w:t xml:space="preserve">—  </w:t></w:r></w:p></w:tc><w:tc><w:tcPr><w:tcW w:w="500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c><w:tcPr><w:tcW w:w="15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c><w:tcPr><w:tcW w:w="500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ind w:left="0" w:right="0" w:firstLine="0" w:hanging="0"/></w:pPr><w:r><w:rPr><w:rFonts w:ascii="Times New Roman" w:hAnsi="Times New Roman" w:eastAsia="Times New Roman" w:cs="Times New Roman"/><w:sz w:val="20"/><w:szCs w:val="20"/><w:shd w:val="clear" w:fill="CCEEFF"/></w:rPr><w:t xml:space="preserve">(737</w:t></w:r></w:p></w:tc><w:tc><w:tcPr><w:tcW w:w="500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c><w:tcPr><w:tcW w:w="15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c><w:tcPr><w:tcW w:w="5000" w:type="pct"/><w:vAlign w:val="bottom"/><w:shd w:val="clear" w:fill="CCEEFF"/><w:noWrap/></w:tcPr><w:p><w:pPr><w:ind w:left="0" w:right="0" w:firstLine="0" w:hanging="0"/></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jc w:val="end"/><w:ind w:left="0" w:right="0" w:firstLine="0" w:hanging="0"/></w:pPr><w:r><w:rPr><w:rFonts w:ascii="&quot;Times New Roman&quot;" w:hAnsi="&quot;Times New Roman&quot;" w:eastAsia="&quot;Times New Roman&quot;" w:cs="&quot;Times New Roman&quot;"/><w:sz w:val="20"/><w:szCs w:val="20"/><w:spacing w:val="0"/><w:shd w:val="clear" w:fill="CCEEFF"/></w:rPr><w:t xml:space="preserve">—</w:t></w:r></w:p></w:tc><w:tc><w:tcPr><w:tcW w:w="5000" w:type="pct"/><w:vAlign w:val="bottom"/><w:shd w:val="clear" w:fill="CCEEFF"/><w:noWrap/></w:tcPr><w:p><w:pPr><w:ind w:left="0" w:right="0" w:firstLine="0" w:hanging="0"/></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c><w:tcPr><w:tcW w:w="500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ind w:left="0" w:right="0" w:firstLine="0" w:hanging="0"/></w:pPr><w:r><w:rPr><w:rFonts w:ascii="Times New Roman" w:hAnsi="Times New Roman" w:eastAsia="Times New Roman" w:cs="Times New Roman"/><w:sz w:val="20"/><w:szCs w:val="20"/><w:shd w:val="clear" w:fill="CCEEFF"/></w:rPr><w:t xml:space="preserve">(737</w:t></w:r></w:p></w:tc><w:tc><w:tcPr><w:tcW w:w="5000" w:type="pct"/><w:vAlign w:val="bottom"/><w:shd w:val="clear" w:fill="CCEEFF"/><w:noWrap/></w:tcPr><w:p><w:pPr><w:ind w:left="0" w:right="0" w:firstLine="0" w:hanging="0"/></w:pPr><w:r><w:rPr><w:rFonts w:ascii="Times New Roman" w:hAnsi="Times New Roman" w:eastAsia="Times New Roman" w:cs="Times New Roman"/><w:sz w:val="20"/><w:szCs w:val="20"/><w:shd w:val="clear" w:fill="CCEEFF"/></w:rPr><w:t xml:space="preserve">) </w:t></w:r></w:p></w:tc></w:tr><w:tr><w:trPr/><w:tc><w:tcPr><w:tcW w:w="2750" w:type="pct"/><w:vAlign w:val="top"/><w:shd w:val="clear" w:fill="rgba(255, 255, 255, 0)"/><w:noWrap/></w:tcPr><w:p><w:pPr/><w:r><w:rPr><w:rFonts w:ascii="&quot;Times New Roman&quot;" w:hAnsi="&quot;Times New Roman&quot;" w:eastAsia="&quot;Times New Roman&quot;" w:cs="&quot;Times New Roman&quot;"/><w:sz w:val="20"/><w:szCs w:val="20"/><w:spacing w:val="0"/><w:shd w:val="clear" w:fill="rgba(255, 255, 255, 0)"/></w:rPr><w:t xml:space="preserve">Stock-based compensation expense</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2,781</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2,781</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43,207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43,207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r><w:tr><w:trPr/><w:tc><w:tcPr><w:tcW w:w="2750" w:type="pct"/><w:vAlign w:val="top"/><w:shd w:val="clear" w:fill="rgba(255, 255, 255, 0)"/><w:noWrap/></w:tcPr><w:p><w:pPr/><w:r><w:rPr><w:rFonts w:ascii="&quot;Times New Roman&quot;" w:hAnsi="&quot;Times New Roman&quot;" w:eastAsia="&quot;Times New Roman&quot;" w:cs="&quot;Times New Roman&quot;"/><w:sz w:val="20"/><w:szCs w:val="20"/><w:b w:val="1"/><w:bCs w:val="1"/><w:spacing w:val="0"/><w:shd w:val="clear" w:fill="rgba(255, 255, 255, 0)"/></w:rPr><w:t xml:space="preserve">Balance as of September 30, 2021</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128,636,661</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13</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300,989</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(111,828</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189,174</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r><w:tr><w:trPr/><w:tc><w:tcPr><w:tcW w:w="27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1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r></w:tbl><w:p><w:pPr><w:jc w:val="start"/></w:pPr><w:r><w:rPr><w:sz w:val="24"/><w:szCs w:val="24"/><w:spacing w:val="0"/></w:rPr><w:t xml:space="preserve"> </w:t></w:r></w:p><w:tbl><w:tblGrid><w:gridCol w:w="275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tblGrid><w:tblPr><w:tblW w:w="5000" w:type="pct"/><w:tblCellSpacing w:w="0" w:type="dxa"/><w:tblLayout w:type="autofit"/></w:tblPr><w:tr><w:trPr/><w:tc><w:tcPr><w:tcW w:w="275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18"/><w:noWrap/></w:tcPr><w:p><w:pPr><w:jc w:val="center"/></w:pPr><w:r><w:rPr><w:rFonts w:ascii="Times New Roman" w:hAnsi="Times New Roman" w:eastAsia="Times New Roman" w:cs="Times New Roman"/><w:sz w:val="16"/><w:szCs w:val="16"/><w:b w:val="1"/><w:bCs w:val="1"/><w:spacing w:val="0"/></w:rPr><w:t xml:space="preserve">Three and Nine Months Ended September 30, 2020</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Additional</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6"/><w:noWrap/></w:tcPr><w:p><w:pPr><w:jc w:val="center"/></w:pPr><w:r><w:rPr><w:rFonts w:ascii="Times New Roman" w:hAnsi="Times New Roman" w:eastAsia="Times New Roman" w:cs="Times New Roman"/><w:sz w:val="16"/><w:szCs w:val="16"/><w:b w:val="1"/><w:bCs w:val="1"/></w:rPr><w:t xml:space="preserve">Common Stock</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Paid-in</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Accumulated</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Total</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Shares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Amount</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Capital</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Deficit</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Stockholders’ Equity</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c><w:tcPr><w:tcW w:w="5000" w:type="pct"/><w:vAlign w:val="bottom"/><w:gridSpan w:val="2"/><w:noWrap/></w:tcPr><w:p><w:pPr/><w:r><w:rPr><w:rFonts w:ascii="Times New Roman" w:hAnsi="Times New Roman" w:eastAsia="Times New Roman" w:cs="Times New Roman"/><w:sz w:val="2"/><w:szCs w:val="2"/></w:rPr><w:t xml:space="preserve"> </w:t></w:r></w:p></w:tc><w:tc><w:tcPr><w:tcW w:w="5000" w:type="pct"/><w:vAlign w:val="bottom"/><w:noWrap/></w:tcPr><w:p><w:pPr/><w:r><w:rPr><w:rFonts w:ascii="Times New Roman" w:hAnsi="Times New Roman" w:eastAsia="Times New Roman" w:cs="Times New Roman"/><w:sz w:val="2"/><w:szCs w:val="2"/></w:rPr><w:t xml:space="preserve"> </w:t></w:r></w:p></w:tc></w:tr><w:tr><w:trPr/><w:tc><w:tcPr><w:tcW w:w="275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r><w:tr><w:trPr/><w:tc><w:tcPr><w:tcW w:w="5000" w:type="pct"/><w:vAlign w:val="top"/><w:noWrap/></w:tcPr><w:p><w:pPr><w:spacing w:line="20" w:lineRule="exact"/></w:pPr><w:r><w:rPr><w:rFonts w:ascii="&quot;Times New Roman&quot;" w:hAnsi="&quot;Times New Roman&quot;" w:eastAsia="&quot;Times New Roman&quot;" w:cs="&quot;Times New Roman&quot;"/><w:sz w:val="2"/><w:szCs w:val="2"/><w:b w:val="1"/><w:bCs w:val="1"/><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c><w:tcPr><w:tcW w:w="5000" w:type="pct"/><w:vAlign w:val="bottom"/><w:noWrap/></w:tcPr><w:p><w:pPr><w:spacing w:line="20" w:lineRule="exact"/></w:pPr><w:r><w:rPr><w:rFonts w:ascii="&quot;Times New Roman&quot;" w:hAnsi="&quot;Times New Roman&quot;" w:eastAsia="&quot;Times New Roman&quot;" w:cs="&quot;Times New Roman&quot;"/><w:sz w:val="2"/><w:szCs w:val="2"/><w:spacing w:val="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June 30, 2020 (as reported)</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105,417,168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228,225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(192,486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35,750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Adjustment due to Private Warrant reclassification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(2,299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2,299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Adjustment due to right of use asset amortization</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(3,918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(3,918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b w:val="1"/><w:bCs w:val="1"/><w:spacing w:val="0"/></w:rPr><w:t xml:space="preserve">Balance as of June 30, 2020 (as adjusted)</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105,417,168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225,926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(194,105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31,832</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Exercise of stock options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92,033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Issuance of common stock associated with business acquisition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1,947,953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7,986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7,986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Stock-based compensation expense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Net </w:t></w:r><w:r><w:rPr><w:rFonts w:ascii="&quot;Times New Roman&quot;" w:hAnsi="&quot;Times New Roman&quot;" w:eastAsia="&quot;Times New Roman&quot;" w:cs="&quot;Times New Roman&quot;"/><w:sz w:val="20"/><w:szCs w:val="20"/><w:spacing w:val="0"/></w:rPr><w:t xml:space="preserve">income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20,755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20,755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September 30, 2020 (as adjusted)</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107,457,154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234,716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(173,350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61,377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b w:val="1"/><w:bCs w:val="1"/></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b w:val="1"/><w:bCs w:val="1"/><w:spacing w:val="0"/></w:rPr><w:t xml:space="preserve">Balance as of December 31, 2019 (as reported)</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104,870,886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226,580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(171,007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55,583</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Adjustment due to Private Warrant reclassification</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Adjustment due to right of use asset amortization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(3,561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(3,561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December 31, 2019 (as adjusted)</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104,870,886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224,281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(172,269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52,022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Exercise of stock options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638,315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1,285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1,286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Issuance of common stock associated with business acquisition</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1,947,953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7,986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7,986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Stock-based compensation expense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1,164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1,164</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loss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(1,081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(1,081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b w:val="1"/><w:bCs w:val="1"/><w:spacing w:val="0"/></w:rPr><w:t xml:space="preserve">Balance as of September 30, 2020 (as adjusted)</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107,457,154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234,716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(173,350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61,377</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bl><w:p><w:pPr><w:jc w:val="center"/></w:pPr><w:r><w:rPr><w:rFonts w:ascii="&quot;Times New Roman&quot;" w:hAnsi="&quot;Times New Roman&quot;" w:eastAsia="&quot;Times New Roman&quot;" w:cs="&quot;Times New Roman&quot;"/><w:sz w:val="20"/><w:szCs w:val="20"/><w:spacing w:val="0"/></w:rPr><w:t xml:space="preserve">The accompanying notes are an integral part of these unaudited consolidated financial statements.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CONSOLIDATED STATEMENTS OF CASH FLOWS </w:t></w:r></w:p><w:p><w:pPr><w:jc w:val="center"/></w:pPr><w:r><w:rPr><w:rFonts w:ascii="&quot;Times New Roman&quot;" w:hAnsi="&quot;Times New Roman&quot;" w:eastAsia="&quot;Times New Roman&quot;" w:cs="&quot;Times New Roman&quot;"/><w:sz w:val="20"/><w:szCs w:val="20"/><w:b w:val="1"/><w:bCs w:val="1"/><w:spacing w:val="0"/></w:rPr><w:t xml:space="preserve">(unaudited) </w:t></w:r></w:p><w:p><w:pPr><w:jc w:val="center"/></w:pPr><w:r><w:rPr><w:rFonts w:ascii="&quot;Times New Roman&quot;" w:hAnsi="&quot;Times New Roman&quot;" w:eastAsia="&quot;Times New Roman&quot;" w:cs="&quot;Times New Roman&quot;"/><w:sz w:val="20"/><w:szCs w:val="20"/><w:b w:val="1"/><w:bCs w:val="1"/><w:spacing w:val="0"/></w:rPr><w:t xml:space="preserve">(amounts in thousands) </w:t></w:r></w:p><w:p><w:pPr><w:jc w:val="start"/></w:pPr><w:r><w:rPr><w:sz w:val="24"/><w:szCs w:val="24"/><w:spacing w:val="0"/></w:rPr><w:t xml:space="preserve"> </w:t></w:r></w:p><w:tbl><w:tblGrid><w:gridCol w:w="4300" w:type="dxa"/><w:gridCol w:w="50" w:type="dxa"/><w:gridCol w:w="5000" w:type="dxa"/><w:gridCol w:w="5000" w:type="dxa"/><w:gridCol w:w="5000" w:type="dxa"/><w:gridCol w:w="50" w:type="dxa"/><w:gridCol w:w="5000" w:type="dxa"/><w:gridCol w:w="5000" w:type="dxa"/><w:gridCol w:w="5000" w:type="dxa"/></w:tblGrid><w:tblPr><w:tblW w:w="5000" w:type="pct"/><w:tblCellSpacing w:w="0" w:type="dxa"/><w:tblLayout w:type="autofit"/></w:tblPr><w:tr><w:trPr/><w:tc><w:tcPr><w:tcW w:w="43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6"/><w:noWrap/></w:tcPr><w:p><w:pPr><w:jc w:val="center"/></w:pPr><w:r><w:rPr><w:rFonts w:ascii="Times New Roman" w:hAnsi="Times New Roman" w:eastAsia="Times New Roman" w:cs="Times New Roman"/><w:sz w:val="16"/><w:szCs w:val="16"/><w:b w:val="1"/><w:bCs w:val="1"/><w:spacing w:val="0"/></w:rPr><w:t xml:space="preserve">Nine Months Ended</w:t></w:r><w:br/><w:r><w:rPr><w:rFonts w:ascii="Times New Roman" w:hAnsi="Times New Roman" w:eastAsia="Times New Roman" w:cs="Times New Roman"/><w:sz w:val="16"/><w:szCs w:val="16"/><w:b w:val="1"/><w:bCs w:val="1"/><w:spacing w:val="0"/></w:rPr><w:t xml:space="preserve">September 30,</w:t></w:r></w:p></w:tc><w:tc><w:tcPr><w:tcW w:w="5000" w:type="pct"/><w:vAlign w:val="bottom"/><w:noWrap/></w:tcPr><w:p><w:pPr/><w:r><w:rPr><w:rFonts w:ascii="Times New Roman" w:hAnsi="Times New Roman" w:eastAsia="Times New Roman" w:cs="Times New Roman"/><w:sz w:val="16"/><w:szCs w:val="16"/><w:spacing w:val="0"/></w:rPr><w:t xml:space="preserve"> </w:t></w:r></w:p></w:tc></w:tr><w:tr><w:trPr/><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5000" w:type="pct"/><w:vAlign w:val="bottom"/><w:noWrap/></w:tcPr><w:p><w:pPr/><w:r><w:rPr><w:rFonts w:ascii="Times New Roman" w:hAnsi="Times New Roman" w:eastAsia="Times New Roman" w:cs="Times New Roman"/><w:sz w:val="16"/><w:szCs w:val="16"/><w:spacing w:val="0"/></w:rPr><w:t xml:space="preserve"> </w:t></w:r></w:p></w:tc></w:tr><w:tr><w:trPr/><w:tc><w:tcPr><w:tcW w:w="5000" w:type="pct"/><w:vAlign w:val="bottom"/><w:noWrap/></w:tcPr><w:p><w:pPr/><w:r><w:rPr><w:rFonts w:ascii="Times New Roman" w:hAnsi="Times New Roman" w:eastAsia="Times New Roman" w:cs="Times New Roman"/><w:sz w:val="2"/><w:szCs w:val="2"/><w:spacing w:val="0"/></w:rPr><w:t xml:space="preserve"> </w:t></w:r></w:p></w:tc><w:tc><w:tcPr><w:tcW w:w="5000" w:type="pct"/><w:vAlign w:val="bottom"/><w:noWrap/></w:tcPr><w:p><w:pPr/><w:r><w:rPr><w:rFonts w:ascii="Times New Roman" w:hAnsi="Times New Roman" w:eastAsia="Times New Roman" w:cs="Times New Roman"/><w:sz w:val="2"/><w:szCs w:val="2"/><w:spacing w:val="0"/></w:rPr><w:t xml:space="preserve">  </w:t></w:r></w:p></w:tc><w:tc><w:tcPr><w:tcW w:w="5000" w:type="pct"/><w:vAlign w:val="bottom"/><w:gridSpan w:val="2"/><w:noWrap/></w:tcPr><w:p><w:pPr/><w:r><w:rPr><w:rFonts w:ascii="Times New Roman" w:hAnsi="Times New Roman" w:eastAsia="Times New Roman" w:cs="Times New Roman"/><w:sz w:val="2"/><w:szCs w:val="2"/><w:spacing w:val="0"/></w:rPr><w:t xml:space="preserve"> </w:t></w:r></w:p></w:tc><w:tc><w:tcPr><w:tcW w:w="5000" w:type="pct"/><w:vAlign w:val="bottom"/><w:noWrap/></w:tcPr><w:p><w:pPr/><w:r><w:rPr><w:rFonts w:ascii="Times New Roman" w:hAnsi="Times New Roman" w:eastAsia="Times New Roman" w:cs="Times New Roman"/><w:sz w:val="2"/><w:szCs w:val="2"/><w:spacing w:val="0"/></w:rPr><w:t xml:space="preserve"> </w:t></w:r></w:p></w:tc><w:tc><w:tcPr><w:tcW w:w="5000" w:type="pct"/><w:vAlign w:val="bottom"/><w:noWrap/></w:tcPr><w:p><w:pPr/><w:r><w:rPr><w:rFonts w:ascii="Times New Roman" w:hAnsi="Times New Roman" w:eastAsia="Times New Roman" w:cs="Times New Roman"/><w:sz w:val="2"/><w:szCs w:val="2"/><w:spacing w:val="0"/></w:rPr><w:t xml:space="preserve"> </w:t></w:r></w:p></w:tc><w:tc><w:tcPr><w:tcW w:w="5000" w:type="pct"/><w:vAlign w:val="bottom"/><w:gridSpan w:val="2"/><w:noWrap/></w:tcPr><w:p><w:pPr/><w:r><w:rPr><w:rFonts w:ascii="Times New Roman" w:hAnsi="Times New Roman" w:eastAsia="Times New Roman" w:cs="Times New Roman"/><w:sz w:val="2"/><w:szCs w:val="2"/><w:spacing w:val="0"/></w:rPr><w:t xml:space="preserve"> </w:t></w:r></w:p></w:tc><w:tc><w:tcPr><w:tcW w:w="5000" w:type="pct"/><w:vAlign w:val="bottom"/><w:noWrap/></w:tcPr><w:p><w:pPr/><w:r><w:rPr><w:rFonts w:ascii="Times New Roman" w:hAnsi="Times New Roman" w:eastAsia="Times New Roman" w:cs="Times New Roman"/><w:sz w:val="2"/><w:szCs w:val="2"/><w:spacing w:val="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Cash flows from operating activities:</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43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r><w:tr><w:trPr/><w:tc><w:tcPr><w:tcW w:w="5000" w:type="pct"/><w:vAlign w:val="top"/><w:noWrap/></w:tcPr><w:p><w:pPr/><w:r><w:rPr><w:rFonts w:ascii="&quot;Times New Roman&quot;" w:hAnsi="&quot;Times New Roman&quot;" w:eastAsia="&quot;Times New Roman&quot;" w:cs="&quot;Times New Roman&quot;"/><w:sz w:val="20"/><w:szCs w:val="20"/><w:spacing w:val="0"/></w:rPr><w:t xml:space="preserve">Net income (loss)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43,207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(1,081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Adjustments to reconcile net income (loss) to net cash provided by (used in) operating activities: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Depreciation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4,010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3,285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Amortization of intangible assets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3,726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2,518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Amortization of operating lease </w:t></w:r><w:r><w:rPr><w:rFonts w:ascii="&quot;Times New Roman&quot;" w:hAnsi="&quot;Times New Roman&quot;" w:eastAsia="&quot;Times New Roman&quot;" w:cs="&quot;Times New Roman&quot;"/><w:sz w:val="20"/><w:szCs w:val="20"/><w:spacing w:val="0"/></w:rPr><w:t xml:space="preserve">right-of-use</w:t></w:r><w:r><w:rPr><w:rFonts w:ascii="&quot;Times New Roman&quot;" w:hAnsi="&quot;Times New Roman&quot;" w:eastAsia="&quot;Times New Roman&quot;" w:cs="&quot;Times New Roman&quot;"/><w:sz w:val="20"/><w:szCs w:val="20"/></w:rPr><w:t xml:space="preserve"> assets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4,117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Non-cash</w:t></w:r><w:r><w:rPr><w:rFonts w:ascii="&quot;Times New Roman&quot;" w:hAnsi="&quot;Times New Roman&quot;" w:eastAsia="&quot;Times New Roman&quot;" w:cs="&quot;Times New Roman&quot;"/><w:sz w:val="20"/><w:szCs w:val="20"/><w:shd w:val="clear" w:fill="CCEEFF"/></w:rPr><w:t xml:space="preserve"> interest expense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236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160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Deferred interest expense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1,331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1,577</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Deferred rent expense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Gain on settlement of deferred acquisition consideration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(2,246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Provision recorded for sales returns and doubtful accounts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2,862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2,559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Loss on disposal of property and equipment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1,397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201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Adjustment for excess and obsolete inventories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8,045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2,024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Stock-based compensation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2,781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1,164</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Change in fair value of Earnout liability</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(3,985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Loss on extinguishment of debt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1,883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Changes in operating assets and liabilities: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Accounts receivable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(20,642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(19,160</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Inventory</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(9,741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(7,757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Prepaid expenses and other current assets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(98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(1,647</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Operating leases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(4,179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Accounts payable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5,237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(3,778</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Accrued expenses and other current liabilities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6,765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3,521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Other liabilities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(2,922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878</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cash provided by (used in) operating activities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44,030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(17,749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b w:val="1"/><w:bCs w:val="1"/><w:spacing w:val="0"/></w:rPr><w:t xml:space="preserve">Cash flows from investing activities: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Purchases of property and equipment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(25,993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(12,260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Cash paid for business acquisition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(5,820</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cash used in investing activities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(25,993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(18,080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b w:val="1"/><w:bCs w:val="1"/><w:spacing w:val="0"/></w:rPr><w:t xml:space="preserve">Cash flows from financing activities: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Line of credit borrowings (repayments) under the 2019 Credit Agreement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5,869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Term loan borrowings (repayments) under the 2019 Credit Agreement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(60,000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10,000</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Proceeds from term loan under the 2021 Credit Agreement, net of debt discount and issuance cost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73,174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Term loan repayments under the 2021 Credit Agreement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(469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Payments of withholding taxes in connection with RSUs vesting</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(737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Proceeds from the exercise of stock options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2,115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1,286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Principal repayments of finance lease obligations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(2,099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(1,776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Payment to extinguish debt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(1,620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Payment of deferred acquisition consideration</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(3,034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Net cash (used in) provided by financing activities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(119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12,345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Change in cash and restricted cash</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17,918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(23,484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Cash and restricted cash, beginning of period</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84,806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60,370</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Cash and restricted cash, end of period</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102,724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36,886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b w:val="1"/><w:bCs w:val="1"/><w:spacing w:val="0"/></w:rPr><w:t xml:space="preserve">Supplemental disclosure of cash flow information: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Cash paid for interest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5,830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7,130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Cash paid for income taxes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582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hd w:val="clear" w:fill="CCEEFF"/></w:rPr><w:t xml:space="preserve">Supplemental disclosure of </w:t></w:r><w:r><w:rPr><w:rFonts w:ascii="&quot;Times New Roman&quot;" w:hAnsi="&quot;Times New Roman&quot;" w:eastAsia="&quot;Times New Roman&quot;" w:cs="&quot;Times New Roman&quot;"/><w:sz w:val="20"/><w:szCs w:val="20"/><w:b w:val="1"/><w:bCs w:val="1"/><w:spacing w:val="0"/><w:shd w:val="clear" w:fill="CCEEFF"/></w:rPr><w:t xml:space="preserve">non-cash</w:t></w:r><w:r><w:rPr><w:rFonts w:ascii="&quot;Times New Roman&quot;" w:hAnsi="&quot;Times New Roman&quot;" w:eastAsia="&quot;Times New Roman&quot;" w:cs="&quot;Times New Roman&quot;"/><w:sz w:val="20"/><w:szCs w:val="20"/><w:b w:val="1"/><w:bCs w:val="1"/><w:shd w:val="clear" w:fill="CCEEFF"/></w:rPr><w:t xml:space="preserve"> investing and financing activities: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Fair value of shares issued for business acquisition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7,986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Deferred acquisition consideration and earnout liability recorded for business acquisition</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5,218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Purchases of property and equipment included in accounts payable and accrued expenses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1,523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2,628</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Right-of-use</w:t></w:r><w:r><w:rPr><w:rFonts w:ascii="&quot;Times New Roman&quot;" w:hAnsi="&quot;Times New Roman&quot;" w:eastAsia="&quot;Times New Roman&quot;" w:cs="&quot;Times New Roman&quot;"/><w:sz w:val="20"/><w:szCs w:val="20"/><w:shd w:val="clear" w:fill="CCEEFF"/></w:rPr><w:t xml:space="preserve"> assets obtained through operating lease obligations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30,639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pPr><w:r><w:rPr><w:rFonts w:ascii="&quot;Times New Roman&quot;" w:hAnsi="&quot;Times New Roman&quot;" w:eastAsia="&quot;Times New Roman&quot;" w:cs="&quot;Times New Roman&quot;"/><w:sz w:val="20"/><w:szCs w:val="20"/><w:spacing w:val="0"/></w:rPr><w:t xml:space="preserve">The accompanying notes are an integral part of these unaudited consolidated financial statements.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NOTES TO UNAUDITED CONSOLIDATED FINANCIAL STATEMENTS </w:t></w:r></w:p><w:p><w:pPr><w:jc w:val="center"/></w:pPr><w:r><w:rPr><w:rFonts w:ascii="&quot;Times New Roman&quot;" w:hAnsi="&quot;Times New Roman&quot;" w:eastAsia="&quot;Times New Roman&quot;" w:cs="&quot;Times New Roman&quot;"/><w:sz w:val="20"/><w:szCs w:val="20"/><w:b w:val="1"/><w:bCs w:val="1"/><w:spacing w:val="0"/></w:rPr><w:t xml:space="preserve">(amounts in thousands, except share and per share data) </w:t></w:r></w:p><w:p><w:pPr><w:jc w:val="start"/></w:pPr><w:r><w:rPr><w:rFonts w:ascii="&quot;Times New Roman&quot;" w:hAnsi="&quot;Times New Roman&quot;" w:eastAsia="&quot;Times New Roman&quot;" w:cs="&quot;Times New Roman&quot;"/><w:sz w:val="20"/><w:szCs w:val="20"/><w:b w:val="1"/><w:bCs w:val="1"/><w:spacing w:val="0"/></w:rPr><w:t xml:space="preserve">1. Nature of the Business and Basis of Presentation </w:t></w:r></w:p><w:p><w:pPr><w:jc w:val="start"/></w:pPr><w:r><w:rPr><w:rFonts w:ascii="&quot;Times New Roman&quot;" w:hAnsi="&quot;Times New Roman&quot;" w:eastAsia="&quot;Times New Roman&quot;" w:cs="&quot;Times New Roman&quot;"/><w:sz w:val="20"/><w:szCs w:val="20"/><w:spacing w:val="0"/></w:rPr><w:t xml:space="preserve">Organogenesis Holdings Inc. (formerly Avista Healthcare Public Acquisition Corp.) (“ORGO” or the “Company”) is a leading regenerative medicine company focused on the development, manufacture, and commercialization of solutions for the Advanced Wound Care and Surgical & Sports Medicine markets. Several of the existing and pipeline products in the Company’s portfolio have Premarket Application (“PMA”) approval, Business License Applicant (“BLA”) approval or Premarket Notification 510(k) clearance from the United States Food and Drug Administration (“FDA”). The Company’s customers include hospitals, wound care centers, government facilities, ambulatory serv</w:t></w:r></w:p><w:p><w:pPr><w:jc w:val="start"/></w:pPr><w:r><w:rPr><w:rFonts w:ascii="&quot;Times New Roman&quot;" w:hAnsi="&quot;Times New Roman&quot;" w:eastAsia="&quot;Times New Roman&quot;" w:cs="&quot;Times New Roman&quot;"/><w:sz w:val="20"/><w:szCs w:val="20"/><w:spacing w:val="0"/></w:rPr><w:t xml:space="preserve">i</w:t></w:r></w:p><w:p><w:pPr><w:jc w:val="start"/></w:pPr><w:r><w:rPr><w:rFonts w:ascii="&quot;Times New Roman&quot;" w:hAnsi="&quot;Times New Roman&quot;" w:eastAsia="&quot;Times New Roman&quot;" w:cs="&quot;Times New Roman&quot;"/><w:sz w:val="20"/><w:szCs w:val="20"/><w:spacing w:val="0"/></w:rPr><w:t xml:space="preserve">ce centers (“ASCs”) and physician offices. The Company has one operating and reportable segment.</w:t></w:r></w:p><w:p><w:pPr><w:jc w:val="start"/></w:pPr><w:r><w:rPr><w:rFonts w:ascii="&quot;Times New Roman&quot;" w:hAnsi="&quot;Times New Roman&quot;" w:eastAsia="&quot;Times New Roman&quot;" w:cs="&quot;Times New Roman&quot;"/><w:sz w:val="20"/><w:szCs w:val="20"/><w:b w:val="1"/><w:bCs w:val="1"/><w:i w:val="1"/><w:iCs w:val="1"/><w:spacing w:val="0"/></w:rPr><w:t xml:space="preserve">COVID-19</w:t></w:r></w:p><w:p><w:pPr><w:jc w:val="start"/></w:pPr><w:r><w:rPr><w:rFonts w:ascii="&quot;Times New Roman&quot;" w:hAnsi="&quot;Times New Roman&quot;" w:eastAsia="&quot;Times New Roman&quot;" w:cs="&quot;Times New Roman&quot;"/><w:sz w:val="20"/><w:szCs w:val="20"/><w:b w:val="1"/><w:bCs w:val="1"/><w:i w:val="1"/><w:iCs w:val="1"/><w:spacing w:val="0"/></w:rPr><w:t xml:space="preserve"> pandemic</w:t></w:r></w:p><w:p><w:pPr><w:jc w:val="start"/></w:pPr><w:r><w:rPr><w:rFonts w:ascii="Times New Roman" w:hAnsi="Times New Roman" w:eastAsia="Times New Roman" w:cs="Times New Roman"/><w:sz w:val="20"/><w:szCs w:val="20"/></w:rPr><w:t xml:space="preserve">The emergence of the coronavirus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around th</w:t></w:r></w:p><w:p><w:pPr><w:jc w:val="start"/></w:pPr><w:r><w:rPr><w:rFonts w:ascii="Times New Roman" w:hAnsi="Times New Roman" w:eastAsia="Times New Roman" w:cs="Times New Roman"/><w:sz w:val="20"/><w:szCs w:val="20"/><w:spacing w:val="0"/></w:rPr><w:t xml:space="preserve">e</w:t></w:r></w:p><w:p><w:pPr><w:jc w:val="start"/></w:pPr><w:r><w:rPr><w:rFonts w:ascii="Times New Roman" w:hAnsi="Times New Roman" w:eastAsia="Times New Roman" w:cs="Times New Roman"/><w:sz w:val="20"/><w:szCs w:val="20"/></w:rPr><w:t xml:space="preserve"> world, and particularly in the United States, continues to present risks to the Company. While the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pandemic has not materially adversely affected the Company’s financial results and business operations through the third quarter ended September 30, 2021, the Company is unable to predict the impact that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will have on its financial position and operating results because of the numerous uncertainties created by the unprecedented nature of the pandemic. </w:t></w:r></w:p><w:p><w:pPr><w:jc w:val="start"/></w:pPr><w:r><w:rPr><w:rFonts w:ascii="&quot;Times New Roman&quot;" w:hAnsi="&quot;Times New Roman&quot;" w:eastAsia="&quot;Times New Roman&quot;" w:cs="&quot;Times New Roman&quot;"/><w:sz w:val="20"/><w:szCs w:val="20"/><w:spacing w:val="0"/></w:rPr><w:t xml:space="preserve">The Company is closely monitoring the evolving impact of the pandemic on all aspects of its business. The Company has implemented a number of measures designed to protect the health and safety of its employees, support its customers and promote business continuity. </w:t></w:r></w:p><w:p><w:pPr><w:jc w:val="start"/></w:pPr><w:r><w:rPr><w:rFonts w:ascii="&quot;Times New Roman&quot;" w:hAnsi="&quot;Times New Roman&quot;" w:eastAsia="&quot;Times New Roman&quot;" w:cs="&quot;Times New Roman&quot;"/><w:sz w:val="20"/><w:szCs w:val="20"/><w:b w:val="1"/><w:bCs w:val="1"/><w:i w:val="1"/><w:iCs w:val="1"/><w:spacing w:val="0"/></w:rPr><w:t xml:space="preserve">Merger with Avista Healthcare Public Acquisition Corp </w:t></w:r></w:p><w:p><w:pPr><w:jc w:val="start"/></w:pPr><w:r><w:rPr><w:b w:val="1"/><w:bCs w:val="1"/><w:i w:val="1"/><w:iCs w:val="1"/><w:spacing w:val="0"/></w:rPr><w:t xml:space="preserve"> </w:t></w:r></w:p><w:p><w:pPr><w:jc w:val="start"/></w:pPr><w:r><w:rPr><w:rFonts w:ascii="&quot;Times New Roman&quot;" w:hAnsi="&quot;Times New Roman&quot;" w:eastAsia="&quot;Times New Roman&quot;" w:cs="&quot;Times New Roman&quot;"/><w:sz w:val="20"/><w:szCs w:val="20"/><w:spacing w:val="0"/></w:rPr><w:t xml:space="preserve">On December 10, 2018, Avista Healthcare Public Acquisition Corp., our predecessor company (“AHPAC”), consummated a business combination (the “Avista Merger”) pursuant to an Agreement and Plan of Merger, dated as of August 17, 2018 (as amended, the “Avista Merger Agreement”), by and among AHPAC, Avista Healthcare Merger Sub, Inc., a direct wholly-owned subsidiary of AHPAC (“Avista Merger Sub”) and Organogenesis Inc. As a result of the Avista Merger and the other transactions contemplated by the Avista Merger Agreement, Avista Merger Sub merged with and into Organogenesis Inc., with Organogenesis Inc. surviving the Avista Merger and becoming a wholly-owned subsidiary of AHPAC. AHPAC changed its name to Organogenesis Holdings Inc. (ORGO). </w:t></w:r></w:p><w:p><w:pPr><w:jc w:val="start"/></w:pPr><w:r><w:rPr><w:rFonts w:ascii="&quot;Times New Roman&quot;" w:hAnsi="&quot;Times New Roman&quot;" w:eastAsia="&quot;Times New Roman&quot;" w:cs="&quot;Times New Roman&quot;"/><w:sz w:val="20"/><w:szCs w:val="20"/><w:b w:val="1"/><w:bCs w:val="1"/><w:spacing w:val="0"/></w:rPr><w:t xml:space="preserve">2. Summary of Significant Accounting Policies </w:t></w:r></w:p><w:p><w:pPr><w:jc w:val="start"/></w:pPr><w:r><w:rPr><w:rFonts w:ascii="&quot;Times New Roman&quot;" w:hAnsi="&quot;Times New Roman&quot;" w:eastAsia="&quot;Times New Roman&quot;" w:cs="&quot;Times New Roman&quot;"/><w:sz w:val="20"/><w:szCs w:val="20"/><w:b w:val="1"/><w:bCs w:val="1"/><w:i w:val="1"/><w:iCs w:val="1"/><w:spacing w:val="0"/></w:rPr><w:t xml:space="preserve">Unaudited Interim Financial Information </w:t></w:r></w:p><w:p><w:pPr><w:jc w:val="start"/></w:pPr><w:r><w:rPr><w:rFonts w:ascii="Times New Roman" w:hAnsi="Times New Roman" w:eastAsia="Times New Roman" w:cs="Times New Roman"/><w:sz w:val="20"/><w:szCs w:val="20"/><w:spacing w:val="0"/></w:rPr><w:t xml:space="preserve">The accompanying unaudited consolidated financial statements have been prepared by management in accordance with GAAP and the rules and regulations of the Securities and Exchange Commission (the “SEC”) regarding interim financial reporting. Accordingly, they do not include all the information and footnotes required by generally accepted accounting principles for complete financial statements. While we believe that the disclosures presented are adequate in order to make the information not misleading, these unaudited quarterly financial statements should be read in conjunction with the financial statements and notes thereto included in the Company’s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spacing w:val="0"/></w:rPr><w:t xml:space="preserve"> for the fiscal year ended December 31, 2020, as amended (the “Annual Report”). </w:t></w:r></w:p><w:p><w:pPr><w:jc w:val="start"/></w:pPr><w:r><w:rPr><w:rFonts w:ascii="&quot;Times New Roman&quot;" w:hAnsi="&quot;Times New Roman&quot;" w:eastAsia="&quot;Times New Roman&quot;" w:cs="&quot;Times New Roman&quot;"/><w:sz w:val="20"/><w:szCs w:val="20"/><w:spacing w:val="0"/></w:rPr><w:t xml:space="preserve">The unaudited consolidated financial statements include the accounts and results of operations of Organogenesis Holdings Inc. and its wholly-owned subsidiaries of Organogenesis Inc., including Organogenesis GmbH (a Switzerland corporation) and Prime Merger Sub, LLC. All intercompany balances and transactions have been eliminated in consolidation. The Company considers events or transactions that occur after the balance sheet date but before the financial statements are issued to provide additional evidence relative to certain estimates or to identify matters that require additional disclosure. In the opinion of management, the unaudited consolidated financial statements reflect all adjustments of a normal recurring nature necessary for a fair presentation of the Company’s financial position, results of operations and cash flows at the dates and for the periods indicated. The results for the nine months ended September 30, 2021 are not necessarily indicative of the results to be expected for the year ending December 31, 2021, any other interim periods, or any future years or periods. </w:t></w:r></w:p><w:p><w:pPr><w:jc w:val="start"/></w:pPr><w:r><w:rPr><w:sz w:val="16"/><w:szCs w:val="16"/><w:spacing w:val="0"/></w:rPr><w:t xml:space="preserve"> </w:t></w:r></w:p><w:p><w:pPr><w:jc w:val="start"/></w:pPr><w:r><w:rPr><w:rFonts w:ascii="&quot;Times New Roman&quot;" w:hAnsi="&quot;Times New Roman&quot;" w:eastAsia="&quot;Times New Roman&quot;" w:cs="&quot;Times New Roman&quot;"/><w:sz w:val="20"/><w:szCs w:val="20"/><w:spacing w:val="0"/></w:rPr><w:t xml:space="preserve"> </w:t></w:r></w:p><w:p><w:pPr><w:jc w:val="center"/></w:pPr><w:r><w:rPr><w:rFonts w:ascii="&quot;Times New Roman&quot;" w:hAnsi="&quot;Times New Roman&quot;" w:eastAsia="&quot;Times New Roman&quot;" w:cs="&quot;Times New Roman&quot;"/><w:sz w:val="20"/><w:szCs w:val="20"/><w:spacing w:val="0"/></w:rPr><w:t xml:space="preserve">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Use of Estimates </w:t></w:r></w:p><w:p><w:pPr><w:jc w:val="start"/></w:pPr><w:r><w:rPr><w:rFonts w:ascii="&quot;Times New Roman&quot;" w:hAnsi="&quot;Times New Roman&quot;" w:eastAsia="&quot;Times New Roman&quot;" w:cs="&quot;Times New Roman&quot;"/><w:sz w:val="20"/><w:szCs w:val="20"/><w:spacing w:val="0"/></w:rPr><w:t xml:space="preserve">The preparation of financial statements in conformity with GAAP requires management to make estimates and assumptions that affect the reported amounts of assets and liabilities and the related disclosure as of the date of the consolidated financial statements and the reported results of operations during the reporting periods. Actual results could differ from those estimates. </w:t></w:r></w:p><w:p><w:pPr><w:jc w:val="start"/></w:pPr><w:r><w:rPr><w:rFonts w:ascii="&quot;Times New Roman&quot;" w:hAnsi="&quot;Times New Roman&quot;" w:eastAsia="&quot;Times New Roman&quot;" w:cs="&quot;Times New Roman&quot;"/><w:sz w:val="20"/><w:szCs w:val="20"/><w:b w:val="1"/><w:bCs w:val="1"/><w:i w:val="1"/><w:iCs w:val="1"/><w:spacing w:val="0"/></w:rPr><w:t xml:space="preserve">Summary of Significant Accounting Policies </w:t></w:r></w:p><w:p><w:pPr><w:jc w:val="start"/></w:pPr><w:r><w:rPr><w:rFonts w:ascii="&quot;Times New Roman&quot;" w:hAnsi="&quot;Times New Roman&quot;" w:eastAsia="&quot;Times New Roman&quot;" w:cs="&quot;Times New Roman&quot;"/><w:sz w:val="20"/><w:szCs w:val="20"/><w:spacing w:val="0"/></w:rPr><w:t xml:space="preserve">The Company’s significant accounting policies are described in Note “2. Significant Accounting Policies” to the Consolidated Financial Statements included in the Annual Report. There have been no material changes to the significant accounting policies previously disclosed in the Annual Report, other than as it related to the recently adopted accounting pronouncement disclosed below. </w:t></w:r></w:p><w:p><w:pPr><w:jc w:val="start"/></w:pPr><w:r><w:rPr><w:rFonts w:ascii="&quot;Times New Roman&quot;" w:hAnsi="&quot;Times New Roman&quot;" w:eastAsia="&quot;Times New Roman&quot;" w:cs="&quot;Times New Roman&quot;"/><w:sz w:val="20"/><w:szCs w:val="20"/><w:b w:val="1"/><w:bCs w:val="1"/><w:i w:val="1"/><w:iCs w:val="1"/><w:spacing w:val="0"/></w:rPr><w:t xml:space="preserve">Revision to Previously Issued Financial Statements </w:t></w:r></w:p><w:p><w:pPr><w:jc w:val="start"/></w:pPr><w:r><w:rPr><w:rFonts w:ascii="Times New Roman" w:hAnsi="Times New Roman" w:eastAsia="Times New Roman" w:cs="Times New Roman"/><w:sz w:val="20"/><w:szCs w:val="20"/><w:i w:val="1"/><w:iCs w:val="1"/><w:spacing w:val="0"/></w:rPr><w:t xml:space="preserve">Private Warrant Reclassification </w:t></w:r></w:p><w:p><w:pPr><w:jc w:val="start"/></w:pPr><w:r><w:rPr><w:rFonts w:ascii="&quot;Times New Roman&quot;" w:hAnsi="&quot;Times New Roman&quot;" w:eastAsia="&quot;Times New Roman&quot;" w:cs="&quot;Times New Roman&quot;"/><w:sz w:val="20"/><w:szCs w:val="20"/><w:spacing w:val="0"/></w:rPr><w:t xml:space="preserve">On April 12, 2021, the Staff of the SEC issued a statement regarding the accounting and reporting considerations for warrants issued by special purpose acquisition companies entitled “Staff Statement on Accounting and Reporting Considerations for Warrants Issued by Special Purpose Acquisition Companies (“SPACs”)” (the “SEC Statement”). In the SEC Statement, the SEC Staff expressed its view that certain terms and conditions common to SPAC warrants may require the warrants to be classified as liabilities on the SPAC’s financial statements as opposed to equity. </w:t></w:r></w:p><w:p><w:pPr><w:jc w:val="start"/></w:pPr><w:r><w:rPr><w:rFonts w:ascii="&quot;Times New Roman&quot;" w:hAnsi="&quot;Times New Roman&quot;" w:eastAsia="&quot;Times New Roman&quot;" w:cs="&quot;Times New Roman&quot;"/><w:sz w:val="20"/><w:szCs w:val="20"/><w:spacing w:val="0"/></w:rPr><w:t xml:space="preserve">As of December 31, 2018, the Company had 4.1 million private warrants outstanding, which were issued to Avista Capital Partners IV, L.P. and Avista Capital Partners IV (Offshore), L.P. in connection with the Avista Merger on December 10, 2018 (the “Private Warrants”), and 31.0 million public warrants outstanding that were issued in connection with the initial public offering of Avista Healthcare Public Acquisition Corp. on October 10, 2016 (the “Public Warrants”, together with the Private Warrants, the “Warrants”). The Company originally classified the Warrants as equity on its financial statements. In 2019, the outstanding Warrants were exchanged for 3.3 million shares of the Company’s Class A common stock. There were no Warrants outstanding as of December 31, 2019.</w:t></w:r></w:p><w:p><w:pPr><w:jc w:val="start"/></w:pPr><w:r><w:rPr><w:rFonts w:ascii="Times New Roman" w:hAnsi="Times New Roman" w:eastAsia="Times New Roman" w:cs="Times New Roman"/><w:sz w:val="20"/><w:szCs w:val="20"/><w:spacing w:val="0"/></w:rPr><w:t xml:space="preserve">As a result of the SEC Statement, the Company reevaluated the historical accounting treatment of its Public Warrants and Private Warrants and determined that the Private Warrants should have been recorded at fair value as a liability in the Company’s consolidated balance sheet with changes to the fair value recorded to the consolidated statements of operations. The Company assessed the materiality of this error on prior period financial statements in accordance with the SEC Staff Accounting Bulletin Number 99, Materiality, and ASC </w:t></w:r></w:p><w:p><w:pPr><w:jc w:val="start"/></w:pPr><w:r><w:rPr><w:rFonts w:ascii="Times New Roman" w:hAnsi="Times New Roman" w:eastAsia="Times New Roman" w:cs="Times New Roman"/><w:sz w:val="20"/><w:szCs w:val="20"/><w:spacing w:val="0"/></w:rPr><w:t xml:space="preserve">250-10, </w:t></w:r></w:p><w:p><w:pPr><w:jc w:val="start"/></w:pPr><w:r><w:rPr><w:rFonts w:ascii="Times New Roman" w:hAnsi="Times New Roman" w:eastAsia="Times New Roman" w:cs="Times New Roman"/><w:sz w:val="20"/><w:szCs w:val="20"/><w:spacing w:val="0"/></w:rPr><w:t xml:space="preserve"> Accounting Changes and Error Corrections. The Company determined that this error was not material to the financial statements of any prior annual or interim period. The Company reclassified </w:t></w:r></w:p><w:p><w:pPr><w:jc w:val="start"/></w:pPr><w:r><w:rPr><w:rFonts w:ascii="Times New Roman" w:hAnsi="Times New Roman" w:eastAsia="Times New Roman" w:cs="Times New Roman"/><w:sz w:val="20"/><w:szCs w:val="20"/><w:spacing w:val="0"/></w:rPr><w:t xml:space="preserve">$</w:t></w:r></w:p><w:p><w:pPr><w:jc w:val="start"/></w:pPr><w:r><w:rPr><w:rFonts w:ascii="Times New Roman" w:hAnsi="Times New Roman" w:eastAsia="Times New Roman" w:cs="Times New Roman"/><w:sz w:val="20"/><w:szCs w:val="20"/><w:spacing w:val="0"/></w:rPr><w:t xml:space="preserve">2,299</w:t></w:r></w:p><w:p><w:pPr><w:jc w:val="start"/></w:pPr><w:r><w:rPr><w:rFonts w:ascii="Times New Roman" w:hAnsi="Times New Roman" w:eastAsia="Times New Roman" w:cs="Times New Roman"/><w:sz w:val="20"/><w:szCs w:val="20"/><w:spacing w:val="0"/></w:rPr><w:t xml:space="preserve"> from additional </w:t></w:r></w:p><w:p><w:pPr><w:jc w:val="start"/></w:pPr><w:r><w:rPr><w:rFonts w:ascii="Times New Roman" w:hAnsi="Times New Roman" w:eastAsia="Times New Roman" w:cs="Times New Roman"/><w:sz w:val="20"/><w:szCs w:val="20"/><w:spacing w:val="0"/></w:rPr><w:t xml:space="preserve">paid-in</w:t></w:r></w:p><w:p><w:pPr><w:jc w:val="start"/></w:pPr><w:r><w:rPr><w:rFonts w:ascii="Times New Roman" w:hAnsi="Times New Roman" w:eastAsia="Times New Roman" w:cs="Times New Roman"/><w:sz w:val="20"/><w:szCs w:val="20"/><w:spacing w:val="0"/></w:rPr><w:t xml:space="preserve"> capital to accumulated deficit on the co</w:t></w:r></w:p><w:p><w:pPr><w:jc w:val="start"/></w:pPr><w:r><w:rPr><w:rFonts w:ascii="Times New Roman" w:hAnsi="Times New Roman" w:eastAsia="Times New Roman" w:cs="Times New Roman"/><w:sz w:val="20"/><w:szCs w:val="20"/><w:spacing w:val="0"/></w:rPr><w:t xml:space="preserve">n</w:t></w:r></w:p><w:p><w:pPr><w:jc w:val="start"/></w:pPr><w:r><w:rPr><w:rFonts w:ascii="Times New Roman" w:hAnsi="Times New Roman" w:eastAsia="Times New Roman" w:cs="Times New Roman"/><w:sz w:val="20"/><w:szCs w:val="20"/><w:spacing w:val="0"/></w:rPr><w:t xml:space="preserve">solidated balance sheet as of December 31, 2020 as the cumulative adjustment for this error.</w:t></w:r></w:p><w:p><w:pPr><w:jc w:val="start"/></w:pPr><w:r><w:rPr><w:rFonts w:ascii="&quot;Times New Roman&quot;" w:hAnsi="&quot;Times New Roman&quot;" w:eastAsia="&quot;Times New Roman&quot;" w:cs="&quot;Times New Roman&quot;"/><w:sz w:val="20"/><w:szCs w:val="20"/><w:i w:val="1"/><w:iCs w:val="1"/><w:spacing w:val="0"/></w:rPr><w:t xml:space="preserve">Right of Use Asset Amortization</w:t></w:r></w:p><w:p><w:pPr><w:jc w:val="start"/></w:pPr><w:r><w:rPr><w:rFonts w:ascii="Times New Roman" w:hAnsi="Times New Roman" w:eastAsia="Times New Roman" w:cs="Times New Roman"/><w:sz w:val="20"/><w:szCs w:val="20"/><w:spacing w:val="0"/></w:rPr><w:t xml:space="preserve">In August 2021, the Company identified an error in its accounting treatment for two ass</w:t></w:r></w:p><w:p><w:pPr><w:jc w:val="start"/></w:pPr><w:r><w:rPr><w:rFonts w:ascii="Times New Roman" w:hAnsi="Times New Roman" w:eastAsia="Times New Roman" w:cs="Times New Roman"/><w:sz w:val="20"/><w:szCs w:val="20"/><w:spacing w:val="0"/></w:rPr><w:t xml:space="preserve">e</w:t></w:r></w:p><w:p><w:pPr><w:jc w:val="start"/></w:pPr><w:r><w:rPr><w:rFonts w:ascii="Times New Roman" w:hAnsi="Times New Roman" w:eastAsia="Times New Roman" w:cs="Times New Roman"/><w:sz w:val="20"/><w:szCs w:val="20"/><w:spacing w:val="0"/></w:rPr><w:t xml:space="preserve">ts recorded as finance leases. The Company did not record amortization expenses for these assets since the lease commencement date. This error resulted in an overstatement of property and equipment, net, and an understatement of accumulated deficit, and selling, general and administrative expenses in the financial statements included in the Company’s quarterly reports on Form 10-Q and the Company’s annual reports on Form 10-K previously filed with the SEC. The Company assessed the materiality of this error on prior period financial statements in accordance with the SEC Staff Accounting Bulletin Number 99, Materiality, and ASC 250-10, Accounting Changes and Error Corrections. The Company determined that this error was not material to the financial statements of any prior annual or interim period.</w:t></w:r></w:p><w:p><w:pPr><w:jc w:val="start"/></w:pPr><w:r><w:rPr><w:rFonts w:ascii="Times New Roman" w:hAnsi="Times New Roman" w:eastAsia="Times New Roman" w:cs="Times New Roman"/><w:sz w:val="20"/><w:szCs w:val="20"/><w:spacing w:val="0"/></w:rPr><w:t xml:space="preserve"> To correct the immaterial misstatement, the Company revised its previously issued financial statements as follows: </w:t></w:r></w:p><w:p><w:pPr><w:jc w:val="start"/></w:pPr><w:r><w:rPr><w:sz w:val="24"/><w:szCs w:val="24"/><w:spacing w:val="0"/></w:rPr><w:t xml:space="preserve"> </w:t></w:r></w:p><w:tbl><w:tblGrid><w:gridCol w:w="3250" w:type="dxa"/><w:gridCol w:w="250" w:type="dxa"/><w:gridCol w:w="4200" w:type="dxa"/><w:gridCol w:w="4200" w:type="dxa"/><w:gridCol w:w="4200" w:type="dxa"/><w:gridCol w:w="200" w:type="dxa"/><w:gridCol w:w="4200" w:type="dxa"/><w:gridCol w:w="4200" w:type="dxa"/><w:gridCol w:w="4200" w:type="dxa"/><w:gridCol w:w="200" w:type="dxa"/><w:gridCol w:w="4200" w:type="dxa"/><w:gridCol w:w="4200" w:type="dxa"/><w:gridCol w:w="4200" w:type="dxa"/></w:tblGrid><w:tblPr><w:tblW w:w="4200" w:type="pct"/><w:tblCellSpacing w:w="0" w:type="dxa"/><w:tblLayout w:type="autofit"/></w:tblPr><w:tr><w:trPr/><w:tc><w:tcPr><w:tcW w:w="3250" w:type="pct"/><w:noWrap/></w:tcPr><w:p><w:pPr/></w:p></w:tc><w:tc><w:tcPr><w:tcW w:w="250" w:type="pct"/><w:vAlign w:val="bottom"/><w:noWrap/></w:tcPr><w:p><w:pPr/></w:p></w:tc><w:tc><w:tcPr><w:tcW w:w="4200" w:type="pct"/><w:noWrap/></w:tcPr><w:p><w:pPr/></w:p></w:tc><w:tc><w:tcPr><w:tcW w:w="4200" w:type="pct"/><w:noWrap/></w:tcPr><w:p><w:pPr/></w:p></w:tc><w:tc><w:tcPr><w:tcW w:w="4200" w:type="pct"/><w:noWrap/></w:tcPr><w:p><w:pPr/></w:p></w:tc><w:tc><w:tcPr><w:tcW w:w="200" w:type="pct"/><w:vAlign w:val="bottom"/><w:noWrap/></w:tcPr><w:p><w:pPr/></w:p></w:tc><w:tc><w:tcPr><w:tcW w:w="4200" w:type="pct"/><w:noWrap/></w:tcPr><w:p><w:pPr/></w:p></w:tc><w:tc><w:tcPr><w:tcW w:w="4200" w:type="pct"/><w:noWrap/></w:tcPr><w:p><w:pPr/></w:p></w:tc><w:tc><w:tcPr><w:tcW w:w="4200" w:type="pct"/><w:noWrap/></w:tcPr><w:p><w:pPr/></w:p></w:tc><w:tc><w:tcPr><w:tcW w:w="200" w:type="pct"/><w:vAlign w:val="bottom"/><w:noWrap/></w:tcPr><w:p><w:pPr/></w:p></w:tc><w:tc><w:tcPr><w:tcW w:w="4200" w:type="pct"/><w:noWrap/></w:tcPr><w:p><w:pPr/></w:p></w:tc><w:tc><w:tcPr><w:tcW w:w="4200" w:type="pct"/><w:noWrap/></w:tcPr><w:p><w:pPr/></w:p></w:tc><w:tc><w:tcPr><w:tcW w:w="4200" w:type="pct"/><w:noWrap/></w:tcPr><w:p><w:pPr/></w:p></w:tc></w:tr><w:tr><w:trPr/><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10"/><w:noWrap/></w:tcPr><w:p><w:pPr><w:jc w:val="center"/></w:pPr><w:r><w:rPr><w:rFonts w:ascii="Times New Roman" w:hAnsi="Times New Roman" w:eastAsia="Times New Roman" w:cs="Times New Roman"/><w:sz w:val="16"/><w:szCs w:val="16"/><w:b w:val="1"/><w:bCs w:val="1"/><w:spacing w:val="0"/></w:rPr><w:t xml:space="preserve">As of December 31, 2020</w:t></w:r></w:p></w:tc><w:tc><w:tcPr><w:tcW w:w="4200" w:type="pct"/><w:vAlign w:val="bottom"/><w:noWrap/></w:tcPr><w:p><w:pPr/><w:r><w:rPr><w:rFonts w:ascii="Times New Roman" w:hAnsi="Times New Roman" w:eastAsia="Times New Roman" w:cs="Times New Roman"/><w:sz w:val="16"/><w:szCs w:val="16"/><w:spacing w:val="0"/></w:rPr><w:t xml:space="preserve"> </w:t></w:r></w:p></w:tc></w:tr><w:tr><w:trPr/><w:tc><w:tcPr><w:tcW w:w="4200" w:type="pct"/><w:vAlign w:val="bottom"/><w:noWrap/></w:tcPr><w:p><w:pPr/><w:r><w:rPr><w:rFonts w:ascii="Times New Roman" w:hAnsi="Times New Roman" w:eastAsia="Times New Roman" w:cs="Times New Roman"/><w:sz w:val="16"/><w:szCs w:val="16"/><w:b w:val="1"/><w:bCs w:val="1"/><w:spacing w:val="0"/></w:rPr><w:t xml:space="preserve">CONSOLIDATED BALANCE SHEETS</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As Previously</w:t></w:r><w:br/><w:r><w:rPr><w:rFonts w:ascii="Times New Roman" w:hAnsi="Times New Roman" w:eastAsia="Times New Roman" w:cs="Times New Roman"/><w:sz w:val="16"/><w:szCs w:val="16"/><w:b w:val="1"/><w:bCs w:val="1"/><w:spacing w:val="0"/></w:rPr><w:t xml:space="preserve"> Reported</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Adjustments</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As Revised</w:t></w:r></w:p></w:tc><w:tc><w:tcPr><w:tcW w:w="4200" w:type="pct"/><w:vAlign w:val="bottom"/><w:noWrap/></w:tcPr><w:p><w:pPr/><w:r><w:rPr><w:rFonts w:ascii="Times New Roman" w:hAnsi="Times New Roman" w:eastAsia="Times New Roman" w:cs="Times New Roman"/><w:sz w:val="16"/><w:szCs w:val="16"/><w:spacing w:val="0"/></w:rPr><w:t xml:space="preserve"> </w:t></w:r></w:p></w:tc></w:tr><w:tr><w:trPr/><w:tc><w:tcPr><w:tcW w:w="32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Property and equipment, net</w:t></w:r></w:p></w:tc><w:tc><w:tcPr><w:tcW w:w="2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pacing w:val="0"/><w:shd w:val="clear" w:fill="CCEEFF"/></w:rPr><w:t xml:space="preserve">60,068</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pacing w:val="0"/><w:shd w:val="clear" w:fill="CCEEFF"/></w:rPr><w:t xml:space="preserve">(4,276</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pacing w:val="0"/><w:shd w:val="clear" w:fill="CCEEFF"/></w:rPr><w:t xml:space="preserve">55,792</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p></w:tc></w:tr><w:tr><w:trPr/><w:tc><w:tcPr><w:tcW w:w="3250" w:type="pct"/><w:vAlign w:val="top"/><w:noWrap/></w:tcPr><w:p><w:pPr/><w:r><w:rPr><w:rFonts w:ascii="&quot;Times New Roman&quot;" w:hAnsi="&quot;Times New Roman&quot;" w:eastAsia="&quot;Times New Roman&quot;" w:cs="&quot;Times New Roman&quot;"/><w:sz w:val="20"/><w:szCs w:val="20"/><w:spacing w:val="0"/></w:rPr><w:t xml:space="preserve">Total assets</w:t></w:r></w:p></w:tc><w:tc><w:tcPr><w:tcW w:w="250" w:type="pct"/><w:vAlign w:val="bottom"/><w:noWrap/></w:tcPr><w:p><w:pPr/><w:r><w:rPr><w:rFonts w:ascii="Times New Roman" w:hAnsi="Times New Roman" w:eastAsia="Times New Roman" w:cs="Times New Roman"/><w:sz w:val="20"/><w:szCs w:val="20"/><w:spacing w:val="0"/></w:rPr><w:t xml:space="preserve">  </w:t></w:r></w:p></w:tc><w:tc><w:tcPr><w:tcW w:w="4200" w:type="pct"/><w:vAlign w:val="bottom"/><w:noWrap/></w:tcPr><w:p><w:pPr/><w:r><w:rPr><w:rFonts w:ascii="Times New Roman" w:hAnsi="Times New Roman" w:eastAsia="Times New Roman" w:cs="Times New Roman"/><w:sz w:val="20"/><w:szCs w:val="20"/><w:spacing w:val="0"/></w:rPr><w:t xml:space="preserve">$</w:t></w:r></w:p></w:tc><w:tc><w:tcPr><w:tcW w:w="4200" w:type="pct"/><w:vAlign w:val="bottom"/><w:noWrap/></w:tcPr><w:p><w:pPr><w:jc w:val="end"/></w:pPr><w:r><w:rPr><w:rFonts w:ascii="Times New Roman" w:hAnsi="Times New Roman" w:eastAsia="Times New Roman" w:cs="Times New Roman"/><w:sz w:val="20"/><w:szCs w:val="20"/><w:spacing w:val="0"/></w:rPr><w:t xml:space="preserve">294,494</w:t></w:r></w:p></w:tc><w:tc><w:tcPr><w:tcW w:w="4200" w:type="pct"/><w:vAlign w:val="bottom"/><w:noWrap/></w:tcPr><w:p><w:pPr/><w:r><w:rPr><w:rFonts w:ascii="Times New Roman" w:hAnsi="Times New Roman" w:eastAsia="Times New Roman" w:cs="Times New Roman"/><w:sz w:val="20"/><w:szCs w:val="20"/><w:spacing w:val="0"/></w:rPr><w:t xml:space="preserve"> </w:t></w:r></w:p></w:tc><w:tc><w:tcPr><w:tcW w:w="200" w:type="pct"/><w:vAlign w:val="bottom"/><w:noWrap/></w:tcPr><w:p><w:pPr/><w:r><w:rPr><w:rFonts w:ascii="Times New Roman" w:hAnsi="Times New Roman" w:eastAsia="Times New Roman" w:cs="Times New Roman"/><w:sz w:val="20"/><w:szCs w:val="20"/><w:spacing w:val="0"/></w:rPr><w:t xml:space="preserve">  </w:t></w:r></w:p></w:tc><w:tc><w:tcPr><w:tcW w:w="4200" w:type="pct"/><w:vAlign w:val="bottom"/><w:noWrap/></w:tcPr><w:p><w:pPr/><w:r><w:rPr><w:rFonts w:ascii="Times New Roman" w:hAnsi="Times New Roman" w:eastAsia="Times New Roman" w:cs="Times New Roman"/><w:sz w:val="20"/><w:szCs w:val="20"/><w:spacing w:val="0"/></w:rPr><w:t xml:space="preserve">$</w:t></w:r></w:p></w:tc><w:tc><w:tcPr><w:tcW w:w="4200" w:type="pct"/><w:vAlign w:val="bottom"/><w:noWrap/></w:tcPr><w:p><w:pPr><w:jc w:val="end"/></w:pPr><w:r><w:rPr><w:rFonts w:ascii="Times New Roman" w:hAnsi="Times New Roman" w:eastAsia="Times New Roman" w:cs="Times New Roman"/><w:sz w:val="20"/><w:szCs w:val="20"/><w:spacing w:val="0"/></w:rPr><w:t xml:space="preserve">(4,276</w:t></w:r></w:p></w:tc><w:tc><w:tcPr><w:tcW w:w="4200" w:type="pct"/><w:vAlign w:val="bottom"/><w:noWrap/></w:tcPr><w:p><w:pPr/><w:r><w:rPr><w:rFonts w:ascii="Times New Roman" w:hAnsi="Times New Roman" w:eastAsia="Times New Roman" w:cs="Times New Roman"/><w:sz w:val="20"/><w:szCs w:val="20"/><w:spacing w:val="0"/></w:rPr><w:t xml:space="preserve">) </w:t></w:r></w:p></w:tc><w:tc><w:tcPr><w:tcW w:w="200" w:type="pct"/><w:vAlign w:val="bottom"/><w:noWrap/></w:tcPr><w:p><w:pPr/><w:r><w:rPr><w:rFonts w:ascii="Times New Roman" w:hAnsi="Times New Roman" w:eastAsia="Times New Roman" w:cs="Times New Roman"/><w:sz w:val="20"/><w:szCs w:val="20"/><w:spacing w:val="0"/></w:rPr><w:t xml:space="preserve">  </w:t></w:r></w:p></w:tc><w:tc><w:tcPr><w:tcW w:w="4200" w:type="pct"/><w:vAlign w:val="bottom"/><w:noWrap/></w:tcPr><w:p><w:pPr/><w:r><w:rPr><w:rFonts w:ascii="Times New Roman" w:hAnsi="Times New Roman" w:eastAsia="Times New Roman" w:cs="Times New Roman"/><w:sz w:val="20"/><w:szCs w:val="20"/><w:spacing w:val="0"/></w:rPr><w:t xml:space="preserve">$</w:t></w:r></w:p></w:tc><w:tc><w:tcPr><w:tcW w:w="4200" w:type="pct"/><w:vAlign w:val="bottom"/><w:noWrap/></w:tcPr><w:p><w:pPr><w:jc w:val="end"/></w:pPr><w:r><w:rPr><w:rFonts w:ascii="Times New Roman" w:hAnsi="Times New Roman" w:eastAsia="Times New Roman" w:cs="Times New Roman"/><w:sz w:val="20"/><w:szCs w:val="20"/><w:spacing w:val="0"/></w:rPr><w:t xml:space="preserve">290,218</w:t></w:r></w:p></w:tc><w:tc><w:tcPr><w:tcW w:w="4200" w:type="pct"/><w:vAlign w:val="bottom"/><w:noWrap/></w:tcPr><w:p><w:pPr/><w:r><w:rPr><w:rFonts w:ascii="Times New Roman" w:hAnsi="Times New Roman" w:eastAsia="Times New Roman" w:cs="Times New Roman"/><w:sz w:val="20"/><w:szCs w:val="20"/><w:spacing w:val="0"/></w:rPr><w:t xml:space="preserve"> </w:t></w:r></w:p></w:tc></w:tr><w:tr><w:trPr/><w:tc><w:tcPr><w:tcW w:w="32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Accumulated deficit</w:t></w:r></w:p></w:tc><w:tc><w:tcPr><w:tcW w:w="2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pacing w:val="0"/><w:shd w:val="clear" w:fill="CCEEFF"/></w:rPr><w:t xml:space="preserve">(150,759</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pacing w:val="0"/><w:shd w:val="clear" w:fill="CCEEFF"/></w:rPr><w:t xml:space="preserve">(4,276</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pacing w:val="0"/><w:shd w:val="clear" w:fill="CCEEFF"/></w:rPr><w:t xml:space="preserve">(155,035</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p></w:tc></w:tr><w:tr><w:trPr/><w:tc><w:tcPr><w:tcW w:w="3250" w:type="pct"/><w:vAlign w:val="top"/><w:noWrap/></w:tcPr><w:p><w:pPr/><w:r><w:rPr><w:rFonts w:ascii="&quot;Times New Roman&quot;" w:hAnsi="&quot;Times New Roman&quot;" w:eastAsia="&quot;Times New Roman&quot;" w:cs="&quot;Times New Roman&quot;"/><w:sz w:val="20"/><w:szCs w:val="20"/><w:spacing w:val="0"/></w:rPr><w:t xml:space="preserve">Total stockholders’ equity</w:t></w:r></w:p></w:tc><w:tc><w:tcPr><w:tcW w:w="250" w:type="pct"/><w:vAlign w:val="bottom"/><w:noWrap/></w:tcPr><w:p><w:pPr/><w:r><w:rPr><w:rFonts w:ascii="Times New Roman" w:hAnsi="Times New Roman" w:eastAsia="Times New Roman" w:cs="Times New Roman"/><w:sz w:val="20"/><w:szCs w:val="20"/><w:spacing w:val="0"/></w:rPr><w:t xml:space="preserve">  </w:t></w:r></w:p></w:tc><w:tc><w:tcPr><w:tcW w:w="4200" w:type="pct"/><w:vAlign w:val="bottom"/><w:noWrap/></w:tcPr><w:p><w:pPr/><w:r><w:rPr><w:rFonts w:ascii="Times New Roman" w:hAnsi="Times New Roman" w:eastAsia="Times New Roman" w:cs="Times New Roman"/><w:sz w:val="20"/><w:szCs w:val="20"/><w:spacing w:val="0"/></w:rPr><w:t xml:space="preserve">$</w:t></w:r></w:p></w:tc><w:tc><w:tcPr><w:tcW w:w="4200" w:type="pct"/><w:vAlign w:val="bottom"/><w:noWrap/></w:tcPr><w:p><w:pPr><w:jc w:val="end"/></w:pPr><w:r><w:rPr><w:rFonts w:ascii="Times New Roman" w:hAnsi="Times New Roman" w:eastAsia="Times New Roman" w:cs="Times New Roman"/><w:sz w:val="20"/><w:szCs w:val="20"/><w:spacing w:val="0"/></w:rPr><w:t xml:space="preserve">146,084</w:t></w:r></w:p></w:tc><w:tc><w:tcPr><w:tcW w:w="4200" w:type="pct"/><w:vAlign w:val="bottom"/><w:noWrap/></w:tcPr><w:p><w:pPr/><w:r><w:rPr><w:rFonts w:ascii="Times New Roman" w:hAnsi="Times New Roman" w:eastAsia="Times New Roman" w:cs="Times New Roman"/><w:sz w:val="20"/><w:szCs w:val="20"/><w:spacing w:val="0"/></w:rPr><w:t xml:space="preserve"> </w:t></w:r></w:p></w:tc><w:tc><w:tcPr><w:tcW w:w="200" w:type="pct"/><w:vAlign w:val="bottom"/><w:noWrap/></w:tcPr><w:p><w:pPr/><w:r><w:rPr><w:rFonts w:ascii="Times New Roman" w:hAnsi="Times New Roman" w:eastAsia="Times New Roman" w:cs="Times New Roman"/><w:sz w:val="20"/><w:szCs w:val="20"/><w:spacing w:val="0"/></w:rPr><w:t xml:space="preserve">  </w:t></w:r></w:p></w:tc><w:tc><w:tcPr><w:tcW w:w="4200" w:type="pct"/><w:vAlign w:val="bottom"/><w:noWrap/></w:tcPr><w:p><w:pPr/><w:r><w:rPr><w:rFonts w:ascii="Times New Roman" w:hAnsi="Times New Roman" w:eastAsia="Times New Roman" w:cs="Times New Roman"/><w:sz w:val="20"/><w:szCs w:val="20"/><w:spacing w:val="0"/></w:rPr><w:t xml:space="preserve">$</w:t></w:r></w:p></w:tc><w:tc><w:tcPr><w:tcW w:w="4200" w:type="pct"/><w:vAlign w:val="bottom"/><w:noWrap/></w:tcPr><w:p><w:pPr><w:jc w:val="end"/></w:pPr><w:r><w:rPr><w:rFonts w:ascii="Times New Roman" w:hAnsi="Times New Roman" w:eastAsia="Times New Roman" w:cs="Times New Roman"/><w:sz w:val="20"/><w:szCs w:val="20"/><w:spacing w:val="0"/></w:rPr><w:t xml:space="preserve">(4,276</w:t></w:r></w:p></w:tc><w:tc><w:tcPr><w:tcW w:w="4200" w:type="pct"/><w:vAlign w:val="bottom"/><w:noWrap/></w:tcPr><w:p><w:pPr/><w:r><w:rPr><w:rFonts w:ascii="Times New Roman" w:hAnsi="Times New Roman" w:eastAsia="Times New Roman" w:cs="Times New Roman"/><w:sz w:val="20"/><w:szCs w:val="20"/><w:spacing w:val="0"/></w:rPr><w:t xml:space="preserve">) </w:t></w:r></w:p></w:tc><w:tc><w:tcPr><w:tcW w:w="200" w:type="pct"/><w:vAlign w:val="bottom"/><w:noWrap/></w:tcPr><w:p><w:pPr/><w:r><w:rPr><w:rFonts w:ascii="Times New Roman" w:hAnsi="Times New Roman" w:eastAsia="Times New Roman" w:cs="Times New Roman"/><w:sz w:val="20"/><w:szCs w:val="20"/><w:spacing w:val="0"/></w:rPr><w:t xml:space="preserve">  </w:t></w:r></w:p></w:tc><w:tc><w:tcPr><w:tcW w:w="4200" w:type="pct"/><w:vAlign w:val="bottom"/><w:noWrap/></w:tcPr><w:p><w:pPr/><w:r><w:rPr><w:rFonts w:ascii="Times New Roman" w:hAnsi="Times New Roman" w:eastAsia="Times New Roman" w:cs="Times New Roman"/><w:sz w:val="20"/><w:szCs w:val="20"/><w:spacing w:val="0"/></w:rPr><w:t xml:space="preserve">$</w:t></w:r></w:p></w:tc><w:tc><w:tcPr><w:tcW w:w="4200" w:type="pct"/><w:vAlign w:val="bottom"/><w:noWrap/></w:tcPr><w:p><w:pPr><w:jc w:val="end"/></w:pPr><w:r><w:rPr><w:rFonts w:ascii="Times New Roman" w:hAnsi="Times New Roman" w:eastAsia="Times New Roman" w:cs="Times New Roman"/><w:sz w:val="20"/><w:szCs w:val="20"/><w:spacing w:val="0"/></w:rPr><w:t xml:space="preserve">141,808</w:t></w:r></w:p></w:tc><w:tc><w:tcPr><w:tcW w:w="4200" w:type="pct"/><w:vAlign w:val="bottom"/><w:noWrap/></w:tcPr><w:p><w:pPr/><w:r><w:rPr><w:rFonts w:ascii="Times New Roman" w:hAnsi="Times New Roman" w:eastAsia="Times New Roman" w:cs="Times New Roman"/><w:sz w:val="20"/><w:szCs w:val="20"/><w:spacing w:val="0"/></w:rPr><w:t xml:space="preserve"> </w:t></w:r></w:p></w:tc></w:tr><w:tr><w:trPr/><w:tc><w:tcPr><w:tcW w:w="32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liabilities and stockholders’ equity</w:t></w:r></w:p></w:tc><w:tc><w:tcPr><w:tcW w:w="2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pacing w:val="0"/><w:shd w:val="clear" w:fill="CCEEFF"/></w:rPr><w:t xml:space="preserve">294,494</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pacing w:val="0"/><w:shd w:val="clear" w:fill="CCEEFF"/></w:rPr><w:t xml:space="preserve">(4,276</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pacing w:val="0"/><w:shd w:val="clear" w:fill="CCEEFF"/></w:rPr><w:t xml:space="preserve">290,218</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tbl><w:tblGrid><w:gridCol w:w="26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tblGrid><w:tblPr><w:tblW w:w="5000" w:type="pct"/><w:tblCellSpacing w:w="0" w:type="dxa"/><w:tblLayout w:type="autofit"/></w:tblPr><w:tr><w:trPr/><w:tc><w:tcPr><w:tcW w:w="26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tcBorders><w:bottom w:val="single" w:sz="10" w:color="solid"/></w:tcBorders><w:gridSpan w:val="10"/><w:noWrap/></w:tcPr><w:p><w:pPr><w:jc w:val="center"/></w:pPr><w:r><w:rPr><w:rFonts w:ascii="Times New Roman" w:hAnsi="Times New Roman" w:eastAsia="Times New Roman" w:cs="Times New Roman"/><w:sz w:val="16"/><w:szCs w:val="16"/><w:b w:val="1"/><w:bCs w:val="1"/><w:spacing w:val="0"/></w:rPr><w:t xml:space="preserve">For</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the</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Three</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Months</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Ended</w:t></w:r><w:br/><w:r><w:rPr><w:rFonts w:ascii="Times New Roman" w:hAnsi="Times New Roman" w:eastAsia="Times New Roman" w:cs="Times New Roman"/><w:sz w:val="16"/><w:szCs w:val="16"/><w:b w:val="1"/><w:bCs w:val="1"/><w:spacing w:val="0"/></w:rPr><w:t xml:space="preserve"> September</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30,</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2020</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10"/><w:noWrap/></w:tcPr><w:p><w:pPr><w:jc w:val="center"/></w:pPr><w:r><w:rPr><w:rFonts w:ascii="Times New Roman" w:hAnsi="Times New Roman" w:eastAsia="Times New Roman" w:cs="Times New Roman"/><w:sz w:val="16"/><w:szCs w:val="16"/><w:b w:val="1"/><w:bCs w:val="1"/><w:spacing w:val="0"/></w:rPr><w:t xml:space="preserve">For</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the</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Nine</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Months</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Ended</w:t></w:r><w:r><w:rPr><w:rFonts w:ascii="Times New Roman" w:hAnsi="Times New Roman" w:eastAsia="Times New Roman" w:cs="Times New Roman"/><w:sz w:val="16"/><w:szCs w:val="16"/><w:b w:val="1"/><w:bCs w:val="1"/><w:spacing w:val="0"/></w:rPr><w:t xml:space="preserve"> </w:t></w:r><w:b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September</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30</w:t></w:r><w:r><w:rPr><w:rFonts w:ascii="Times New Roman" w:hAnsi="Times New Roman" w:eastAsia="Times New Roman" w:cs="Times New Roman"/><w:sz w:val="16"/><w:szCs w:val="16"/><w:b w:val="1"/><w:bCs w:val="1"/><w:spacing w:val="0"/></w:rPr><w:t xml:space="preserve">,</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2020</w:t></w:r></w:p></w:tc><w:tc><w:tcPr><w:tcW w:w="5000" w:type="pct"/><w:vAlign w:val="bottom"/><w:noWrap/></w:tcPr><w:p><w:pPr/><w:r><w:rPr><w:rFonts w:ascii="Times New Roman" w:hAnsi="Times New Roman" w:eastAsia="Times New Roman" w:cs="Times New Roman"/><w:sz w:val="16"/><w:szCs w:val="16"/><w:spacing w:val="0"/></w:rPr><w:t xml:space="preserve"> </w:t></w:r></w:p></w:tc></w:tr><w:tr><w:trPr/><w:tc><w:tcPr><w:tcW w:w="5000" w:type="pct"/><w:vAlign w:val="bottom"/><w:noWrap/></w:tcPr><w:p><w:pPr/><w:r><w:rPr><w:rFonts w:ascii="Times New Roman" w:hAnsi="Times New Roman" w:eastAsia="Times New Roman" w:cs="Times New Roman"/><w:sz w:val="16"/><w:szCs w:val="16"/><w:b w:val="1"/><w:bCs w:val="1"/><w:spacing w:val="0"/></w:rPr><w:t xml:space="preserve">CONSOLIDATED STATEMENTS OF OPERATIONS</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As</w:t></w:r><w:br/><w:r><w:rPr><w:rFonts w:ascii="Times New Roman" w:hAnsi="Times New Roman" w:eastAsia="Times New Roman" w:cs="Times New Roman"/><w:sz w:val="16"/><w:szCs w:val="16"/><w:b w:val="1"/><w:bCs w:val="1"/><w:spacing w:val="0"/></w:rPr><w:t xml:space="preserve"> Previously</w:t></w:r><w:br/><w:r><w:rPr><w:rFonts w:ascii="Times New Roman" w:hAnsi="Times New Roman" w:eastAsia="Times New Roman" w:cs="Times New Roman"/><w:sz w:val="16"/><w:szCs w:val="16"/><w:b w:val="1"/><w:bCs w:val="1"/><w:spacing w:val="0"/></w:rPr><w:t xml:space="preserve"> Reported</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Adjustments</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As</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Revised</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As</w:t></w:r><w:br/><w:r><w:rPr><w:rFonts w:ascii="Times New Roman" w:hAnsi="Times New Roman" w:eastAsia="Times New Roman" w:cs="Times New Roman"/><w:sz w:val="16"/><w:szCs w:val="16"/><w:b w:val="1"/><w:bCs w:val="1"/><w:spacing w:val="0"/></w:rPr><w:t xml:space="preserve"> Previously</w:t></w:r><w:br/><w:r><w:rPr><w:rFonts w:ascii="Times New Roman" w:hAnsi="Times New Roman" w:eastAsia="Times New Roman" w:cs="Times New Roman"/><w:sz w:val="16"/><w:szCs w:val="16"/><w:b w:val="1"/><w:bCs w:val="1"/><w:spacing w:val="0"/></w:rPr><w:t xml:space="preserve"> Reported</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Adjustments</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As</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Revised</w:t></w:r></w:p></w:tc><w:tc><w:tcPr><w:tcW w:w="5000" w:type="pct"/><w:vAlign w:val="bottom"/><w:noWrap/></w:tcPr><w:p><w:pPr/><w:r><w:rPr><w:rFonts w:ascii="Times New Roman" w:hAnsi="Times New Roman" w:eastAsia="Times New Roman" w:cs="Times New Roman"/><w:sz w:val="16"/><w:szCs w:val="16"/><w:spacing w:val="0"/></w:rPr><w:t xml:space="preserve"> </w:t></w:r></w:p></w:tc></w:tr><w:tr><w:trPr/><w:tc><w:tcPr><w:tcW w:w="2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Selling, general and administrative</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51,146</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179</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51,325</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150,261</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536</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150,797</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r><w:tr><w:trPr/><w:tc><w:tcPr><w:tcW w:w="2600" w:type="pct"/><w:vAlign w:val="top"/><w:noWrap/></w:tcPr><w:p><w:pPr/><w:r><w:rPr><w:rFonts w:ascii="&quot;Times New Roman&quot;" w:hAnsi="&quot;Times New Roman&quot;" w:eastAsia="&quot;Times New Roman&quot;" w:cs="&quot;Times New Roman&quot;"/><w:sz w:val="20"/><w:szCs w:val="20"/><w:spacing w:val="0"/></w:rPr><w:t xml:space="preserve">Total operating expenses</w:t></w:r></w:p></w:tc><w:tc><w:tcPr><w:tcW w:w="1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w:t></w:r></w:p></w:tc><w:tc><w:tcPr><w:tcW w:w="5000" w:type="pct"/><w:vAlign w:val="bottom"/><w:noWrap/></w:tcPr><w:p><w:pPr><w:jc w:val="end"/></w:pPr><w:r><w:rPr><w:rFonts w:ascii="Times New Roman" w:hAnsi="Times New Roman" w:eastAsia="Times New Roman" w:cs="Times New Roman"/><w:sz w:val="20"/><w:szCs w:val="20"/><w:spacing w:val="0"/></w:rPr><w:t xml:space="preserve">54,855</w:t></w:r></w:p></w:tc><w:tc><w:tcPr><w:tcW w:w="5000" w:type="pct"/><w:vAlign w:val="bottom"/><w:noWrap/></w:tcPr><w:p><w:pPr/><w:r><w:rPr><w:rFonts w:ascii="Times New Roman" w:hAnsi="Times New Roman" w:eastAsia="Times New Roman" w:cs="Times New Roman"/><w:sz w:val="20"/><w:szCs w:val="20"/><w:spacing w:val="0"/></w:rPr><w:t xml:space="preserve"> </w:t></w:r></w:p></w:tc><w:tc><w:tcPr><w:tcW w:w="1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w:t></w:r></w:p></w:tc><w:tc><w:tcPr><w:tcW w:w="5000" w:type="pct"/><w:vAlign w:val="bottom"/><w:noWrap/></w:tcPr><w:p><w:pPr><w:jc w:val="end"/></w:pPr><w:r><w:rPr><w:rFonts w:ascii="Times New Roman" w:hAnsi="Times New Roman" w:eastAsia="Times New Roman" w:cs="Times New Roman"/><w:sz w:val="20"/><w:szCs w:val="20"/><w:spacing w:val="0"/></w:rPr><w:t xml:space="preserve">179</w:t></w:r></w:p></w:tc><w:tc><w:tcPr><w:tcW w:w="5000" w:type="pct"/><w:vAlign w:val="bottom"/><w:noWrap/></w:tcPr><w:p><w:pPr/><w:r><w:rPr><w:rFonts w:ascii="Times New Roman" w:hAnsi="Times New Roman" w:eastAsia="Times New Roman" w:cs="Times New Roman"/><w:sz w:val="20"/><w:szCs w:val="20"/><w:spacing w:val="0"/></w:rPr><w:t xml:space="preserve"> </w:t></w:r></w:p></w:tc><w:tc><w:tcPr><w:tcW w:w="1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w:t></w:r></w:p></w:tc><w:tc><w:tcPr><w:tcW w:w="5000" w:type="pct"/><w:vAlign w:val="bottom"/><w:noWrap/></w:tcPr><w:p><w:pPr><w:jc w:val="end"/></w:pPr><w:r><w:rPr><w:rFonts w:ascii="Times New Roman" w:hAnsi="Times New Roman" w:eastAsia="Times New Roman" w:cs="Times New Roman"/><w:sz w:val="20"/><w:szCs w:val="20"/><w:spacing w:val="0"/></w:rPr><w:t xml:space="preserve">55,034</w:t></w:r></w:p></w:tc><w:tc><w:tcPr><w:tcW w:w="5000" w:type="pct"/><w:vAlign w:val="bottom"/><w:noWrap/></w:tcPr><w:p><w:pPr/><w:r><w:rPr><w:rFonts w:ascii="Times New Roman" w:hAnsi="Times New Roman" w:eastAsia="Times New Roman" w:cs="Times New Roman"/><w:sz w:val="20"/><w:szCs w:val="20"/><w:spacing w:val="0"/></w:rPr><w:t xml:space="preserve"> </w:t></w:r></w:p></w:tc><w:tc><w:tcPr><w:tcW w:w="1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w:t></w:r></w:p></w:tc><w:tc><w:tcPr><w:tcW w:w="5000" w:type="pct"/><w:vAlign w:val="bottom"/><w:noWrap/></w:tcPr><w:p><w:pPr><w:jc w:val="end"/></w:pPr><w:r><w:rPr><w:rFonts w:ascii="Times New Roman" w:hAnsi="Times New Roman" w:eastAsia="Times New Roman" w:cs="Times New Roman"/><w:sz w:val="20"/><w:szCs w:val="20"/><w:spacing w:val="0"/></w:rPr><w:t xml:space="preserve">164,048</w:t></w:r></w:p></w:tc><w:tc><w:tcPr><w:tcW w:w="5000" w:type="pct"/><w:vAlign w:val="bottom"/><w:noWrap/></w:tcPr><w:p><w:pPr/><w:r><w:rPr><w:rFonts w:ascii="Times New Roman" w:hAnsi="Times New Roman" w:eastAsia="Times New Roman" w:cs="Times New Roman"/><w:sz w:val="20"/><w:szCs w:val="20"/><w:spacing w:val="0"/></w:rPr><w:t xml:space="preserve"> </w:t></w:r></w:p></w:tc><w:tc><w:tcPr><w:tcW w:w="1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w:t></w:r></w:p></w:tc><w:tc><w:tcPr><w:tcW w:w="5000" w:type="pct"/><w:vAlign w:val="bottom"/><w:noWrap/></w:tcPr><w:p><w:pPr><w:jc w:val="end"/></w:pPr><w:r><w:rPr><w:rFonts w:ascii="Times New Roman" w:hAnsi="Times New Roman" w:eastAsia="Times New Roman" w:cs="Times New Roman"/><w:sz w:val="20"/><w:szCs w:val="20"/><w:spacing w:val="0"/></w:rPr><w:t xml:space="preserve">536</w:t></w:r></w:p></w:tc><w:tc><w:tcPr><w:tcW w:w="5000" w:type="pct"/><w:vAlign w:val="bottom"/><w:noWrap/></w:tcPr><w:p><w:pPr/><w:r><w:rPr><w:rFonts w:ascii="Times New Roman" w:hAnsi="Times New Roman" w:eastAsia="Times New Roman" w:cs="Times New Roman"/><w:sz w:val="20"/><w:szCs w:val="20"/><w:spacing w:val="0"/></w:rPr><w:t xml:space="preserve"> </w:t></w:r></w:p></w:tc><w:tc><w:tcPr><w:tcW w:w="1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w:t></w:r></w:p></w:tc><w:tc><w:tcPr><w:tcW w:w="5000" w:type="pct"/><w:vAlign w:val="bottom"/><w:noWrap/></w:tcPr><w:p><w:pPr><w:jc w:val="end"/></w:pPr><w:r><w:rPr><w:rFonts w:ascii="Times New Roman" w:hAnsi="Times New Roman" w:eastAsia="Times New Roman" w:cs="Times New Roman"/><w:sz w:val="20"/><w:szCs w:val="20"/><w:spacing w:val="0"/></w:rPr><w:t xml:space="preserve">164,584</w:t></w:r></w:p></w:tc><w:tc><w:tcPr><w:tcW w:w="5000" w:type="pct"/><w:vAlign w:val="bottom"/><w:noWrap/></w:tcPr><w:p><w:pPr/><w:r><w:rPr><w:rFonts w:ascii="Times New Roman" w:hAnsi="Times New Roman" w:eastAsia="Times New Roman" w:cs="Times New Roman"/><w:sz w:val="20"/><w:szCs w:val="20"/><w:spacing w:val="0"/></w:rPr><w:t xml:space="preserve"> </w:t></w:r></w:p></w:tc></w:tr><w:tr><w:trPr/><w:tc><w:tcPr><w:tcW w:w="2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Income from operations</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22,980</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(179</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22,801</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5,644</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(536</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5,108</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r><w:tr><w:trPr/><w:tc><w:tcPr><w:tcW w:w="2600" w:type="pct"/><w:vAlign w:val="top"/><w:noWrap/></w:tcPr><w:p><w:pPr/><w:r><w:rPr><w:rFonts w:ascii="&quot;Times New Roman&quot;" w:hAnsi="&quot;Times New Roman&quot;" w:eastAsia="&quot;Times New Roman&quot;" w:cs="&quot;Times New Roman&quot;"/><w:sz w:val="20"/><w:szCs w:val="20"/><w:spacing w:val="0"/></w:rPr><w:t xml:space="preserve">Net income (loss) before income taxes</w:t></w:r></w:p></w:tc><w:tc><w:tcPr><w:tcW w:w="1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w:t></w:r></w:p></w:tc><w:tc><w:tcPr><w:tcW w:w="5000" w:type="pct"/><w:vAlign w:val="bottom"/><w:noWrap/></w:tcPr><w:p><w:pPr><w:jc w:val="end"/></w:pPr><w:r><w:rPr><w:rFonts w:ascii="Times New Roman" w:hAnsi="Times New Roman" w:eastAsia="Times New Roman" w:cs="Times New Roman"/><w:sz w:val="20"/><w:szCs w:val="20"/><w:spacing w:val="0"/></w:rPr><w:t xml:space="preserve">21,006</w:t></w:r></w:p></w:tc><w:tc><w:tcPr><w:tcW w:w="5000" w:type="pct"/><w:vAlign w:val="bottom"/><w:noWrap/></w:tcPr><w:p><w:pPr/><w:r><w:rPr><w:rFonts w:ascii="Times New Roman" w:hAnsi="Times New Roman" w:eastAsia="Times New Roman" w:cs="Times New Roman"/><w:sz w:val="20"/><w:szCs w:val="20"/><w:spacing w:val="0"/></w:rPr><w:t xml:space="preserve"> </w:t></w:r></w:p></w:tc><w:tc><w:tcPr><w:tcW w:w="1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w:t></w:r></w:p></w:tc><w:tc><w:tcPr><w:tcW w:w="5000" w:type="pct"/><w:vAlign w:val="bottom"/><w:noWrap/></w:tcPr><w:p><w:pPr><w:jc w:val="end"/></w:pPr><w:r><w:rPr><w:rFonts w:ascii="Times New Roman" w:hAnsi="Times New Roman" w:eastAsia="Times New Roman" w:cs="Times New Roman"/><w:sz w:val="20"/><w:szCs w:val="20"/><w:spacing w:val="0"/></w:rPr><w:t xml:space="preserve">(179</w:t></w:r></w:p></w:tc><w:tc><w:tcPr><w:tcW w:w="5000" w:type="pct"/><w:vAlign w:val="bottom"/><w:noWrap/></w:tcPr><w:p><w:pPr/><w:r><w:rPr><w:rFonts w:ascii="Times New Roman" w:hAnsi="Times New Roman" w:eastAsia="Times New Roman" w:cs="Times New Roman"/><w:sz w:val="20"/><w:szCs w:val="20"/><w:spacing w:val="0"/></w:rPr><w:t xml:space="preserve">) </w:t></w:r></w:p></w:tc><w:tc><w:tcPr><w:tcW w:w="1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w:t></w:r></w:p></w:tc><w:tc><w:tcPr><w:tcW w:w="5000" w:type="pct"/><w:vAlign w:val="bottom"/><w:noWrap/></w:tcPr><w:p><w:pPr><w:jc w:val="end"/></w:pPr><w:r><w:rPr><w:rFonts w:ascii="Times New Roman" w:hAnsi="Times New Roman" w:eastAsia="Times New Roman" w:cs="Times New Roman"/><w:sz w:val="20"/><w:szCs w:val="20"/><w:spacing w:val="0"/></w:rPr><w:t xml:space="preserve">20,827</w:t></w:r></w:p></w:tc><w:tc><w:tcPr><w:tcW w:w="5000" w:type="pct"/><w:vAlign w:val="bottom"/><w:noWrap/></w:tcPr><w:p><w:pPr/><w:r><w:rPr><w:rFonts w:ascii="Times New Roman" w:hAnsi="Times New Roman" w:eastAsia="Times New Roman" w:cs="Times New Roman"/><w:sz w:val="20"/><w:szCs w:val="20"/><w:spacing w:val="0"/></w:rPr><w:t xml:space="preserve"> </w:t></w:r></w:p></w:tc><w:tc><w:tcPr><w:tcW w:w="1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w:t></w:r></w:p></w:tc><w:tc><w:tcPr><w:tcW w:w="5000" w:type="pct"/><w:vAlign w:val="bottom"/><w:noWrap/></w:tcPr><w:p><w:pPr><w:jc w:val="end"/></w:pPr><w:r><w:rPr><w:rFonts w:ascii="Times New Roman" w:hAnsi="Times New Roman" w:eastAsia="Times New Roman" w:cs="Times New Roman"/><w:sz w:val="20"/><w:szCs w:val="20"/><w:spacing w:val="0"/></w:rPr><w:t xml:space="preserve">(411</w:t></w:r></w:p></w:tc><w:tc><w:tcPr><w:tcW w:w="5000" w:type="pct"/><w:vAlign w:val="bottom"/><w:noWrap/></w:tcPr><w:p><w:pPr/><w:r><w:rPr><w:rFonts w:ascii="Times New Roman" w:hAnsi="Times New Roman" w:eastAsia="Times New Roman" w:cs="Times New Roman"/><w:sz w:val="20"/><w:szCs w:val="20"/><w:spacing w:val="0"/></w:rPr><w:t xml:space="preserve">) </w:t></w:r></w:p></w:tc><w:tc><w:tcPr><w:tcW w:w="1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w:t></w:r></w:p></w:tc><w:tc><w:tcPr><w:tcW w:w="5000" w:type="pct"/><w:vAlign w:val="bottom"/><w:noWrap/></w:tcPr><w:p><w:pPr><w:jc w:val="end"/></w:pPr><w:r><w:rPr><w:rFonts w:ascii="Times New Roman" w:hAnsi="Times New Roman" w:eastAsia="Times New Roman" w:cs="Times New Roman"/><w:sz w:val="20"/><w:szCs w:val="20"/><w:spacing w:val="0"/></w:rPr><w:t xml:space="preserve">(536</w:t></w:r></w:p></w:tc><w:tc><w:tcPr><w:tcW w:w="5000" w:type="pct"/><w:vAlign w:val="bottom"/><w:noWrap/></w:tcPr><w:p><w:pPr/><w:r><w:rPr><w:rFonts w:ascii="Times New Roman" w:hAnsi="Times New Roman" w:eastAsia="Times New Roman" w:cs="Times New Roman"/><w:sz w:val="20"/><w:szCs w:val="20"/><w:spacing w:val="0"/></w:rPr><w:t xml:space="preserve">) </w:t></w:r></w:p></w:tc><w:tc><w:tcPr><w:tcW w:w="1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w:t></w:r></w:p></w:tc><w:tc><w:tcPr><w:tcW w:w="5000" w:type="pct"/><w:vAlign w:val="bottom"/><w:noWrap/></w:tcPr><w:p><w:pPr><w:jc w:val="end"/></w:pPr><w:r><w:rPr><w:rFonts w:ascii="Times New Roman" w:hAnsi="Times New Roman" w:eastAsia="Times New Roman" w:cs="Times New Roman"/><w:sz w:val="20"/><w:szCs w:val="20"/><w:spacing w:val="0"/></w:rPr><w:t xml:space="preserve">(947</w:t></w:r></w:p></w:tc><w:tc><w:tcPr><w:tcW w:w="5000" w:type="pct"/><w:vAlign w:val="bottom"/><w:noWrap/></w:tcPr><w:p><w:pPr/><w:r><w:rPr><w:rFonts w:ascii="Times New Roman" w:hAnsi="Times New Roman" w:eastAsia="Times New Roman" w:cs="Times New Roman"/><w:sz w:val="20"/><w:szCs w:val="20"/><w:spacing w:val="0"/></w:rPr><w:t xml:space="preserve">) </w:t></w:r></w:p></w:tc></w:tr><w:tr><w:trPr/><w:tc><w:tcPr><w:tcW w:w="2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 (loss)</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20,934</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(179</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20,755</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(545</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(536</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(1,081</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r></w:tbl><w:p><w:pPr><w:jc w:val="start"/></w:pPr><w:r><w:rPr><w:sz w:val="24"/><w:szCs w:val="24"/><w:spacing w:val="0"/></w:rPr><w:t xml:space="preserve"> </w:t></w:r></w:p><w:tbl><w:tblGrid><w:gridCol w:w="3300" w:type="dxa"/><w:gridCol w:w="350" w:type="dxa"/><w:gridCol w:w="4200" w:type="dxa"/><w:gridCol w:w="4200" w:type="dxa"/><w:gridCol w:w="4200" w:type="dxa"/><w:gridCol w:w="300" w:type="dxa"/><w:gridCol w:w="4200" w:type="dxa"/><w:gridCol w:w="4200" w:type="dxa"/><w:gridCol w:w="4200" w:type="dxa"/><w:gridCol w:w="300" w:type="dxa"/><w:gridCol w:w="4200" w:type="dxa"/><w:gridCol w:w="4200" w:type="dxa"/><w:gridCol w:w="4200" w:type="dxa"/></w:tblGrid><w:tblPr><w:tblW w:w="4200" w:type="pct"/><w:tblCellSpacing w:w="0" w:type="dxa"/><w:tblLayout w:type="autofit"/></w:tblPr><w:tr><w:trPr/><w:tc><w:tcPr><w:tcW w:w="3300" w:type="pct"/><w:noWrap/></w:tcPr><w:p><w:pPr/></w:p></w:tc><w:tc><w:tcPr><w:tcW w:w="350" w:type="pct"/><w:vAlign w:val="bottom"/><w:noWrap/></w:tcPr><w:p><w:pPr/></w:p></w:tc><w:tc><w:tcPr><w:tcW w:w="4200" w:type="pct"/><w:noWrap/></w:tcPr><w:p><w:pPr/></w:p></w:tc><w:tc><w:tcPr><w:tcW w:w="4200" w:type="pct"/><w:noWrap/></w:tcPr><w:p><w:pPr/></w:p></w:tc><w:tc><w:tcPr><w:tcW w:w="4200" w:type="pct"/><w:noWrap/></w:tcPr><w:p><w:pPr/></w:p></w:tc><w:tc><w:tcPr><w:tcW w:w="300" w:type="pct"/><w:vAlign w:val="bottom"/><w:noWrap/></w:tcPr><w:p><w:pPr/></w:p></w:tc><w:tc><w:tcPr><w:tcW w:w="4200" w:type="pct"/><w:noWrap/></w:tcPr><w:p><w:pPr/></w:p></w:tc><w:tc><w:tcPr><w:tcW w:w="4200" w:type="pct"/><w:noWrap/></w:tcPr><w:p><w:pPr/></w:p></w:tc><w:tc><w:tcPr><w:tcW w:w="4200" w:type="pct"/><w:noWrap/></w:tcPr><w:p><w:pPr/></w:p></w:tc><w:tc><w:tcPr><w:tcW w:w="300" w:type="pct"/><w:vAlign w:val="bottom"/><w:noWrap/></w:tcPr><w:p><w:pPr/></w:p></w:tc><w:tc><w:tcPr><w:tcW w:w="4200" w:type="pct"/><w:noWrap/></w:tcPr><w:p><w:pPr/></w:p></w:tc><w:tc><w:tcPr><w:tcW w:w="4200" w:type="pct"/><w:noWrap/></w:tcPr><w:p><w:pPr/></w:p></w:tc><w:tc><w:tcPr><w:tcW w:w="4200" w:type="pct"/><w:noWrap/></w:tcPr><w:p><w:pPr/></w:p></w:tc></w:tr><w:tr><w:trPr/><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10"/><w:noWrap/></w:tcPr><w:p><w:pPr><w:jc w:val="center"/></w:pPr><w:r><w:rPr><w:rFonts w:ascii="Times New Roman" w:hAnsi="Times New Roman" w:eastAsia="Times New Roman" w:cs="Times New Roman"/><w:sz w:val="16"/><w:szCs w:val="16"/><w:b w:val="1"/><w:bCs w:val="1"/><w:spacing w:val="0"/></w:rPr><w:t xml:space="preserve">Nine Months Ended September 30, 2020</w:t></w:r></w:p></w:tc><w:tc><w:tcPr><w:tcW w:w="4200" w:type="pct"/><w:vAlign w:val="bottom"/><w:noWrap/></w:tcPr><w:p><w:pPr/><w:r><w:rPr><w:rFonts w:ascii="Times New Roman" w:hAnsi="Times New Roman" w:eastAsia="Times New Roman" w:cs="Times New Roman"/><w:sz w:val="16"/><w:szCs w:val="16"/><w:spacing w:val="0"/></w:rPr><w:t xml:space="preserve"> </w:t></w:r></w:p></w:tc></w:tr><w:tr><w:trPr/><w:tc><w:tcPr><w:tcW w:w="4200" w:type="pct"/><w:vAlign w:val="bottom"/><w:noWrap/></w:tcPr><w:p><w:pPr/><w:r><w:rPr><w:rFonts w:ascii="Times New Roman" w:hAnsi="Times New Roman" w:eastAsia="Times New Roman" w:cs="Times New Roman"/><w:sz w:val="16"/><w:szCs w:val="16"/><w:b w:val="1"/><w:bCs w:val="1"/><w:spacing w:val="0"/></w:rPr><w:t xml:space="preserve">CONSOLIDATED STATEMENTS OF CASH FLOWS</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As Previously</w:t></w:r><w:br/><w:r><w:rPr><w:rFonts w:ascii="Times New Roman" w:hAnsi="Times New Roman" w:eastAsia="Times New Roman" w:cs="Times New Roman"/><w:sz w:val="16"/><w:szCs w:val="16"/><w:b w:val="1"/><w:bCs w:val="1"/><w:spacing w:val="0"/></w:rPr><w:t xml:space="preserve"> Reported</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Adjustments</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As</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Revised</w:t></w:r></w:p></w:tc><w:tc><w:tcPr><w:tcW w:w="4200" w:type="pct"/><w:vAlign w:val="bottom"/><w:noWrap/></w:tcPr><w:p><w:pPr/><w:r><w:rPr><w:rFonts w:ascii="Times New Roman" w:hAnsi="Times New Roman" w:eastAsia="Times New Roman" w:cs="Times New Roman"/><w:sz w:val="16"/><w:szCs w:val="16"/><w:spacing w:val="0"/></w:rPr><w:t xml:space="preserve"> </w:t></w:r></w:p></w:tc></w:tr><w:tr><w:trPr/><w:tc><w:tcPr><w:tcW w:w="3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loss</w:t></w:r></w:p></w:tc><w:tc><w:tcPr><w:tcW w:w="3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pacing w:val="0"/><w:shd w:val="clear" w:fill="CCEEFF"/></w:rPr><w:t xml:space="preserve">(545</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pacing w:val="0"/><w:shd w:val="clear" w:fill="CCEEFF"/></w:rPr><w:t xml:space="preserve">(536</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pacing w:val="0"/><w:shd w:val="clear" w:fill="CCEEFF"/></w:rPr><w:t xml:space="preserve">(1,081</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p></w:tc></w:tr><w:tr><w:trPr/><w:tc><w:tcPr><w:tcW w:w="3300" w:type="pct"/><w:vAlign w:val="top"/><w:noWrap/></w:tcPr><w:p><w:pPr/><w:r><w:rPr><w:rFonts w:ascii="&quot;Times New Roman&quot;" w:hAnsi="&quot;Times New Roman&quot;" w:eastAsia="&quot;Times New Roman&quot;" w:cs="&quot;Times New Roman&quot;"/><w:sz w:val="20"/><w:szCs w:val="20"/><w:spacing w:val="0"/></w:rPr><w:t xml:space="preserve">Depreciation</w:t></w:r></w:p></w:tc><w:tc><w:tcPr><w:tcW w:w="350" w:type="pct"/><w:vAlign w:val="bottom"/><w:noWrap/></w:tcPr><w:p><w:pPr/><w:r><w:rPr><w:rFonts w:ascii="Times New Roman" w:hAnsi="Times New Roman" w:eastAsia="Times New Roman" w:cs="Times New Roman"/><w:sz w:val="20"/><w:szCs w:val="20"/><w:spacing w:val="0"/></w:rPr><w:t xml:space="preserve">  </w:t></w:r></w:p></w:tc><w:tc><w:tcPr><w:tcW w:w="4200" w:type="pct"/><w:vAlign w:val="bottom"/><w:noWrap/></w:tcPr><w:p><w:pPr/><w:r><w:rPr><w:rFonts w:ascii="Times New Roman" w:hAnsi="Times New Roman" w:eastAsia="Times New Roman" w:cs="Times New Roman"/><w:sz w:val="20"/><w:szCs w:val="20"/><w:spacing w:val="0"/></w:rPr><w:t xml:space="preserve">$</w:t></w:r></w:p></w:tc><w:tc><w:tcPr><w:tcW w:w="4200" w:type="pct"/><w:vAlign w:val="bottom"/><w:noWrap/></w:tcPr><w:p><w:pPr><w:jc w:val="end"/></w:pPr><w:r><w:rPr><w:rFonts w:ascii="Times New Roman" w:hAnsi="Times New Roman" w:eastAsia="Times New Roman" w:cs="Times New Roman"/><w:sz w:val="20"/><w:szCs w:val="20"/><w:spacing w:val="0"/></w:rPr><w:t xml:space="preserve">2,749</w:t></w:r></w:p></w:tc><w:tc><w:tcPr><w:tcW w:w="4200" w:type="pct"/><w:vAlign w:val="bottom"/><w:noWrap/></w:tcPr><w:p><w:pPr/><w:r><w:rPr><w:rFonts w:ascii="Times New Roman" w:hAnsi="Times New Roman" w:eastAsia="Times New Roman" w:cs="Times New Roman"/><w:sz w:val="20"/><w:szCs w:val="20"/><w:spacing w:val="0"/></w:rPr><w:t xml:space="preserve"> </w:t></w:r></w:p></w:tc><w:tc><w:tcPr><w:tcW w:w="300" w:type="pct"/><w:vAlign w:val="bottom"/><w:noWrap/></w:tcPr><w:p><w:pPr/><w:r><w:rPr><w:rFonts w:ascii="Times New Roman" w:hAnsi="Times New Roman" w:eastAsia="Times New Roman" w:cs="Times New Roman"/><w:sz w:val="20"/><w:szCs w:val="20"/><w:spacing w:val="0"/></w:rPr><w:t xml:space="preserve">  </w:t></w:r></w:p></w:tc><w:tc><w:tcPr><w:tcW w:w="4200" w:type="pct"/><w:vAlign w:val="bottom"/><w:noWrap/></w:tcPr><w:p><w:pPr/><w:r><w:rPr><w:rFonts w:ascii="Times New Roman" w:hAnsi="Times New Roman" w:eastAsia="Times New Roman" w:cs="Times New Roman"/><w:sz w:val="20"/><w:szCs w:val="20"/><w:spacing w:val="0"/></w:rPr><w:t xml:space="preserve">$</w:t></w:r></w:p></w:tc><w:tc><w:tcPr><w:tcW w:w="4200" w:type="pct"/><w:vAlign w:val="bottom"/><w:noWrap/></w:tcPr><w:p><w:pPr><w:jc w:val="end"/></w:pPr><w:r><w:rPr><w:rFonts w:ascii="Times New Roman" w:hAnsi="Times New Roman" w:eastAsia="Times New Roman" w:cs="Times New Roman"/><w:sz w:val="20"/><w:szCs w:val="20"/><w:spacing w:val="0"/></w:rPr><w:t xml:space="preserve">536</w:t></w:r></w:p></w:tc><w:tc><w:tcPr><w:tcW w:w="4200" w:type="pct"/><w:vAlign w:val="bottom"/><w:noWrap/></w:tcPr><w:p><w:pPr/><w:r><w:rPr><w:rFonts w:ascii="Times New Roman" w:hAnsi="Times New Roman" w:eastAsia="Times New Roman" w:cs="Times New Roman"/><w:sz w:val="20"/><w:szCs w:val="20"/><w:spacing w:val="0"/></w:rPr><w:t xml:space="preserve"> </w:t></w:r></w:p></w:tc><w:tc><w:tcPr><w:tcW w:w="300" w:type="pct"/><w:vAlign w:val="bottom"/><w:noWrap/></w:tcPr><w:p><w:pPr/><w:r><w:rPr><w:rFonts w:ascii="Times New Roman" w:hAnsi="Times New Roman" w:eastAsia="Times New Roman" w:cs="Times New Roman"/><w:sz w:val="20"/><w:szCs w:val="20"/><w:spacing w:val="0"/></w:rPr><w:t xml:space="preserve">  </w:t></w:r></w:p></w:tc><w:tc><w:tcPr><w:tcW w:w="4200" w:type="pct"/><w:vAlign w:val="bottom"/><w:noWrap/></w:tcPr><w:p><w:pPr/><w:r><w:rPr><w:rFonts w:ascii="Times New Roman" w:hAnsi="Times New Roman" w:eastAsia="Times New Roman" w:cs="Times New Roman"/><w:sz w:val="20"/><w:szCs w:val="20"/><w:spacing w:val="0"/></w:rPr><w:t xml:space="preserve">$</w:t></w:r></w:p></w:tc><w:tc><w:tcPr><w:tcW w:w="4200" w:type="pct"/><w:vAlign w:val="bottom"/><w:noWrap/></w:tcPr><w:p><w:pPr><w:jc w:val="end"/></w:pPr><w:r><w:rPr><w:rFonts w:ascii="Times New Roman" w:hAnsi="Times New Roman" w:eastAsia="Times New Roman" w:cs="Times New Roman"/><w:sz w:val="20"/><w:szCs w:val="20"/><w:spacing w:val="0"/></w:rPr><w:t xml:space="preserve">3,285</w:t></w:r></w:p></w:tc><w:tc><w:tcPr><w:tcW w:w="4200" w:type="pct"/><w:vAlign w:val="bottom"/><w:noWrap/></w:tcPr><w:p><w:pPr/><w:r><w:rPr><w:rFonts w:ascii="Times New Roman" w:hAnsi="Times New Roman" w:eastAsia="Times New Roman" w:cs="Times New Roman"/><w:sz w:val="20"/><w:szCs w:val="20"/><w:spacing w:val="0"/></w:rPr><w:t xml:space="preserve"> </w:t></w:r></w:p></w:tc></w:tr></w:tbl><w:p><w:pPr><w:jc w:val="start"/></w:pPr><w:r><w:rPr><w:rFonts w:ascii="&quot;Times New Roman&quot;" w:hAnsi="&quot;Times New Roman&quot;" w:eastAsia="&quot;Times New Roman&quot;" w:cs="&quot;Times New Roman&quot;"/><w:sz w:val="20"/><w:szCs w:val="20"/><w:b w:val="1"/><w:bCs w:val="1"/><w:i w:val="1"/><w:iCs w:val="1"/><w:spacing w:val="0"/></w:rPr><w:t xml:space="preserve">Recently Adopted Accounting Pronouncements </w:t></w:r></w:p><w:p><w:pPr><w:jc w:val="start"/></w:pPr><w:r><w:rPr><w:rFonts w:ascii="Times New Roman" w:hAnsi="Times New Roman" w:eastAsia="Times New Roman" w:cs="Times New Roman"/><w:sz w:val="20"/><w:szCs w:val="20"/><w:spacing w:val="0"/></w:rPr><w:t xml:space="preserve">In February 2016, the Financial Accounting Standards Board (“FASB”) issued Accounting Standards Update </w:t></w:r></w:p><w:p><w:pPr><w:jc w:val="start"/></w:pPr><w:r><w:rPr><w:rFonts w:ascii="Times New Roman" w:hAnsi="Times New Roman" w:eastAsia="Times New Roman" w:cs="Times New Roman"/><w:sz w:val="20"/><w:szCs w:val="20"/><w:spacing w:val="0"/></w:rPr><w:t xml:space="preserve">No. 2016-02</w:t></w:r></w:p><w:p><w:pPr><w:jc w:val="start"/></w:pPr><w:r><w:rPr><w:rFonts w:ascii="Times New Roman" w:hAnsi="Times New Roman" w:eastAsia="Times New Roman" w:cs="Times New Roman"/><w:sz w:val="20"/><w:szCs w:val="20"/><w:spacing w:val="0"/></w:rPr><w:t xml:space="preserve"> (“ASU </w:t></w:r></w:p><w:p><w:pPr><w:jc w:val="start"/></w:pPr><w:r><w:rPr><w:rFonts w:ascii="Times New Roman" w:hAnsi="Times New Roman" w:eastAsia="Times New Roman" w:cs="Times New Roman"/><w:sz w:val="20"/><w:szCs w:val="20"/><w:spacing w:val="0"/></w:rPr><w:t xml:space="preserve">2016-02”), Leases</w:t></w:r></w:p><w:p><w:pPr><w:jc w:val="start"/></w:pPr><w:r><w:rPr><w:rFonts w:ascii="Times New Roman" w:hAnsi="Times New Roman" w:eastAsia="Times New Roman" w:cs="Times New Roman"/><w:sz w:val="20"/><w:szCs w:val="20"/><w:spacing w:val="0"/></w:rPr><w:t xml:space="preserve"> (Topic 842), as further amended (“ASC 842”), to increase transparency and comparability among organizations by requiring the recognition of, at the lease commencement date, a lease liability for the obligation to make lease payments, and a </w:t></w:r></w:p><w:p><w:pPr><w:jc w:val="start"/></w:pPr><w:r><w:rPr><w:rFonts w:ascii="Times New Roman" w:hAnsi="Times New Roman" w:eastAsia="Times New Roman" w:cs="Times New Roman"/><w:sz w:val="20"/><w:szCs w:val="20"/><w:spacing w:val="0"/></w:rPr><w:t xml:space="preserve">right-of-use</w:t></w:r></w:p><w:p><w:pPr><w:jc w:val="start"/></w:pPr><w:r><w:rPr><w:rFonts w:ascii="Times New Roman" w:hAnsi="Times New Roman" w:eastAsia="Times New Roman" w:cs="Times New Roman"/><w:sz w:val="20"/><w:szCs w:val="20"/><w:spacing w:val="0"/></w:rPr><w:t xml:space="preserve"> (“ROU”) asset for the right to use the underlying asset, on the balance sheet. Although the Company remains an emerging growth company until December 31, 2021, it elected to early adopt ASC 842 on January 1, 2021. ASC 842 requires a modified retrospective transition method that could either be applied at the earliest comparative period in the financial statements or in the period of adoption. The Company elected to use the period of ad</w:t></w:r></w:p><w:p><w:pPr><w:jc w:val="start"/></w:pPr><w:r><w:rPr><w:rFonts w:ascii="Times New Roman" w:hAnsi="Times New Roman" w:eastAsia="Times New Roman" w:cs="Times New Roman"/><w:sz w:val="20"/><w:szCs w:val="20"/><w:spacing w:val="0"/></w:rPr><w:t xml:space="preserve">o</w:t></w:r></w:p><w:p><w:pPr><w:jc w:val="start"/></w:pPr><w:r><w:rPr><w:rFonts w:ascii="Times New Roman" w:hAnsi="Times New Roman" w:eastAsia="Times New Roman" w:cs="Times New Roman"/><w:sz w:val="20"/><w:szCs w:val="20"/><w:spacing w:val="0"/></w:rPr><w:t xml:space="preserve">ption (January 1, 2021) transition method and therefore did not recast prior periods. Results for reporting periods beginning on January 1, 2021 are presented under ASC 842, while prior period amounts continue to be reported and disclosed in accordance with the Company’s historical accounting treatment under Accounting Standards Codification 840, Leases (“ASC 840”). In addition, the Company elected the package of practical expedients permitted under the transition guidance within the new standard, which allowed the Company: (1) to carry forward the historical lease classification; (2) not to reassess whether expired or existing contracts are or contain leases; and, (3) not to reassess the treatment of initial direct costs for existing leases. The Company made an accounting policy election under ASC 842 not to recognize the right of use assets and lease liabilities for leases with a term of </w:t></w:r></w:p><w:p><w:pPr><w:jc w:val="start"/></w:pPr><w:r><w:rPr><w:rFonts w:ascii="Times New Roman" w:hAnsi="Times New Roman" w:eastAsia="Times New Roman" w:cs="Times New Roman"/><w:sz w:val="20"/><w:szCs w:val="20"/></w:rPr><w:t xml:space="preserve">12</w:t></w:r></w:p><w:p><w:pPr><w:jc w:val="both"/></w:pPr><w:r><w:rPr><w:rFonts w:ascii="Times New Roman" w:hAnsi="Times New Roman" w:eastAsia="Times New Roman" w:cs="Times New Roman"/><w:sz w:val="20"/><w:szCs w:val="20"/><w:spacing w:val="0"/></w:rPr><w:t xml:space="preserve"> </w:t></w:r></w:p><w:p><w:pPr><w:jc w:val="both"/></w:pPr><w:r><w:rPr><w:rFonts w:ascii="Times New Roman" w:hAnsi="Times New Roman" w:eastAsia="Times New Roman" w:cs="Times New Roman"/><w:sz w:val="20"/><w:szCs w:val="20"/><w:spacing w:val="0"/></w:rPr><w:t xml:space="preserve">months or less. The Company also elected to account for lease components and the associated non-lease components in the contracts as a single lease component for most of the leased assets. Upon the adoption of this standard on January 1, 2021, the Company recognized an operating lease liability of</w:t></w:r></w:p><w:p><w:pPr><w:jc w:val="both"/></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rPr><w:t xml:space="preserve">15,935</w:t></w:r></w:p><w:p><w:pPr><w:jc w:val="both"/></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spacing w:val="0"/></w:rPr><w:t xml:space="preserve">representing the present value of the minimum lease payments remaining as of the adoption date, and a right-of-use asset in the amount of</w:t></w:r></w:p><w:p><w:pPr><w:jc w:val="both"/></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rPr><w:t xml:space="preserve">13,525</w:t></w:r></w:p><w:p><w:pPr><w:jc w:val="both"/></w:pPr><w:r><w:rPr><w:rFonts w:ascii="Times New Roman" w:hAnsi="Times New Roman" w:eastAsia="Times New Roman" w:cs="Times New Roman"/><w:sz w:val="20"/><w:szCs w:val="20"/><w:spacing w:val="0"/></w:rPr><w:t xml:space="preserve">. </w:t></w:r></w:p><w:p><w:pPr><w:jc w:val="both"/></w:pPr><w:r><w:rPr><w:rFonts w:ascii="Times New Roman" w:hAnsi="Times New Roman" w:eastAsia="Times New Roman" w:cs="Times New Roman"/><w:sz w:val="20"/><w:szCs w:val="20"/><w:spacing w:val="0"/></w:rPr><w:t xml:space="preserve">The right-of-use asset reflects adjustments for de-recognition of deferred lease liabilities and lease incentives. The Company’s accounting for finance leases (previously classified as capital leases under ASC 840) remained substantially unchanged. See Note “17. Leases” for further disclosures.</w:t></w:r></w:p><w:p><w:pPr><w:jc w:val="start"/></w:pPr><w:r><w:rPr><w:rFonts w:ascii="&quot;Times New Roman&quot;" w:hAnsi="&quot;Times New Roman&quot;" w:eastAsia="&quot;Times New Roman&quot;" w:cs="&quot;Times New Roman&quot;"/><w:sz w:val="20"/><w:szCs w:val="20"/><w:b w:val="1"/><w:bCs w:val="1"/><w:i w:val="1"/><w:iCs w:val="1"/><w:spacing w:val="0"/></w:rPr><w:t xml:space="preserve">Recently Issued Accounting Pronouncements Not Yet Adopted </w:t></w:r></w:p><w:p><w:pPr><w:jc w:val="start"/></w:pPr><w:r><w:rPr><w:rFonts w:ascii="Times New Roman" w:hAnsi="Times New Roman" w:eastAsia="Times New Roman" w:cs="Times New Roman"/><w:sz w:val="20"/><w:szCs w:val="20"/><w:spacing w:val="0"/></w:rPr><w:t xml:space="preserve">In June 2016, the FASB issued </w:t></w:r></w:p><w:p><w:pPr><w:jc w:val="start"/></w:pPr><w:r><w:rPr><w:rFonts w:ascii="Times New Roman" w:hAnsi="Times New Roman" w:eastAsia="Times New Roman" w:cs="Times New Roman"/><w:sz w:val="20"/><w:szCs w:val="20"/><w:spacing w:val="0"/></w:rPr><w:t xml:space="preserve">ASU 2016-13</w:t></w:r></w:p><w:p><w:pPr><w:jc w:val="start"/></w:pPr><w:r><w:rPr><w:rFonts w:ascii="Times New Roman" w:hAnsi="Times New Roman" w:eastAsia="Times New Roman" w:cs="Times New Roman"/><w:sz w:val="20"/><w:szCs w:val="20"/><w:i w:val="1"/><w:iCs w:val="1"/><w:spacing w:val="0"/></w:rPr><w:t xml:space="preserve">, Financial Instruments—Credit Losses (Topic 326): Measurement of Credit Losses on Financial Instruments</w:t></w:r></w:p><w:p><w:pPr><w:jc w:val="start"/></w:pPr><w:r><w:rPr><w:rFonts w:ascii="Times New Roman" w:hAnsi="Times New Roman" w:eastAsia="Times New Roman" w:cs="Times New Roman"/><w:sz w:val="20"/><w:szCs w:val="20"/><w:spacing w:val="0"/></w:rPr><w:t xml:space="preserve"> (“ASU 2016-13”). Subsequent</w:t></w:r></w:p><w:p><w:pPr><w:jc w:val="start"/></w:pPr><w:r><w:rPr><w:rFonts w:ascii="Times New Roman" w:hAnsi="Times New Roman" w:eastAsia="Times New Roman" w:cs="Times New Roman"/><w:sz w:val="20"/><w:szCs w:val="20"/><w:spacing w:val="0"/></w:rPr><w:t xml:space="preserve"> to the issuance of </w:t></w:r></w:p><w:p><w:pPr><w:jc w:val="start"/></w:pPr><w:r><w:rPr><w:rFonts w:ascii="Times New Roman" w:hAnsi="Times New Roman" w:eastAsia="Times New Roman" w:cs="Times New Roman"/><w:sz w:val="20"/><w:szCs w:val="20"/><w:spacing w:val="0"/></w:rPr><w:t xml:space="preserve">ASU 2016-13, the</w:t></w:r></w:p><w:p><w:pPr><w:jc w:val="start"/></w:pPr><w:r><w:rPr><w:rFonts w:ascii="Times New Roman" w:hAnsi="Times New Roman" w:eastAsia="Times New Roman" w:cs="Times New Roman"/><w:sz w:val="20"/><w:szCs w:val="20"/><w:spacing w:val="0"/></w:rPr><w:t xml:space="preserve"> FASB has issued the following updates: </w:t></w:r></w:p><w:p><w:pPr><w:jc w:val="start"/></w:pPr><w:r><w:rPr><w:rFonts w:ascii="Times New Roman" w:hAnsi="Times New Roman" w:eastAsia="Times New Roman" w:cs="Times New Roman"/><w:sz w:val="20"/><w:szCs w:val="20"/><w:spacing w:val="0"/></w:rPr><w:t xml:space="preserve">ASU 2018-19,</w:t></w:r></w:p><w:p><w:pPr><w:jc w:val="start"/></w:pPr><w:r><w:rPr><w:rFonts w:ascii="Times New Roman" w:hAnsi="Times New Roman" w:eastAsia="Times New Roman" w:cs="Times New Roman"/><w:sz w:val="20"/><w:szCs w:val="20"/><w:i w:val="1"/><w:iCs w:val="1"/><w:spacing w:val="0"/></w:rPr><w:t xml:space="preserve"> Codification Improvements to Topic 326, Financial Instruments- Credit Losses</w:t></w:r></w:p><w:p><w:pPr><w:jc w:val="start"/></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spacing w:val="0"/></w:rPr><w:t xml:space="preserve">ASU 2019-04,</w:t></w:r></w:p><w:p><w:pPr><w:jc w:val="start"/></w:pPr><w:r><w:rPr><w:rFonts w:ascii="Times New Roman" w:hAnsi="Times New Roman" w:eastAsia="Times New Roman" w:cs="Times New Roman"/><w:sz w:val="20"/><w:szCs w:val="20"/><w:i w:val="1"/><w:iCs w:val="1"/><w:spacing w:val="0"/></w:rPr><w:t xml:space="preserve"> Codification Improvements to Topic 326, Financial Instruments—Credit Losses, Topic 815, Derivatives and Hedging, and Topic 825, Financial Instruments</w:t></w:r></w:p><w:p><w:pPr><w:jc w:val="start"/></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spacing w:val="0"/></w:rPr><w:t xml:space="preserve">ASU 2019-05,</w:t></w:r></w:p><w:p><w:pPr><w:jc w:val="start"/></w:pPr><w:r><w:rPr><w:rFonts w:ascii="Times New Roman" w:hAnsi="Times New Roman" w:eastAsia="Times New Roman" w:cs="Times New Roman"/><w:sz w:val="20"/><w:szCs w:val="20"/><w:i w:val="1"/><w:iCs w:val="1"/><w:spacing w:val="0"/></w:rPr><w:t xml:space="preserve"> Financial Instruments—Credit Losses (Topic 326)—Targeted Transition Relief</w:t></w:r></w:p><w:p><w:pPr><w:jc w:val="start"/></w:pPr><w:r><w:rPr><w:rFonts w:ascii="Times New Roman" w:hAnsi="Times New Roman" w:eastAsia="Times New Roman" w:cs="Times New Roman"/><w:sz w:val="20"/><w:szCs w:val="20"/><w:spacing w:val="0"/></w:rPr><w:t xml:space="preserve"> and </w:t></w:r></w:p><w:p><w:pPr><w:jc w:val="start"/></w:pPr><w:r><w:rPr><w:rFonts w:ascii="Times New Roman" w:hAnsi="Times New Roman" w:eastAsia="Times New Roman" w:cs="Times New Roman"/><w:sz w:val="20"/><w:szCs w:val="20"/><w:spacing w:val="0"/></w:rPr><w:t xml:space="preserve">ASU 2019-11,</w:t></w:r></w:p><w:p><w:pPr><w:jc w:val="start"/></w:pPr><w:r><w:rPr><w:rFonts w:ascii="Times New Roman" w:hAnsi="Times New Roman" w:eastAsia="Times New Roman" w:cs="Times New Roman"/><w:sz w:val="20"/><w:szCs w:val="20"/><w:i w:val="1"/><w:iCs w:val="1"/><w:spacing w:val="0"/></w:rPr><w:t xml:space="preserve"> Codification Improvements to Topic 326, Financial Instruments—Credit Losses</w:t></w:r></w:p><w:p><w:pPr><w:jc w:val="start"/></w:pPr><w:r><w:rPr><w:rFonts w:ascii="Times New Roman" w:hAnsi="Times New Roman" w:eastAsia="Times New Roman" w:cs="Times New Roman"/><w:sz w:val="20"/><w:szCs w:val="20"/><w:spacing w:val="0"/></w:rPr><w:t xml:space="preserve">. The objective of </w:t></w:r></w:p><w:p><w:pPr><w:jc w:val="start"/></w:pPr><w:r><w:rPr><w:rFonts w:ascii="Times New Roman" w:hAnsi="Times New Roman" w:eastAsia="Times New Roman" w:cs="Times New Roman"/><w:sz w:val="20"/><w:szCs w:val="20"/><w:spacing w:val="0"/></w:rPr><w:t xml:space="preserve">ASU 2016-13 and</w:t></w:r></w:p><w:p><w:pPr><w:jc w:val="start"/></w:pPr><w:r><w:rPr><w:rFonts w:ascii="Times New Roman" w:hAnsi="Times New Roman" w:eastAsia="Times New Roman" w:cs="Times New Roman"/><w:sz w:val="20"/><w:szCs w:val="20"/><w:spacing w:val="0"/></w:rPr><w:t xml:space="preserve"> all the related updates is to provide financial statement users with more decision-useful information about the expected credit losses on financial instruments and other commitments to extend credit held by a reporting entity at each reporting date. The amendments in this ASU replace the incurred loss impairment methodology in current GAAP with a methodology that reflects expected credit losses and requires consideration of a broader range of reasonable and supportable information to inform credit loss estimates. </w:t></w:r></w:p><w:p><w:pPr><w:jc w:val="start"/></w:pPr><w:r><w:rPr><w:rFonts w:ascii="Times New Roman" w:hAnsi="Times New Roman" w:eastAsia="Times New Roman" w:cs="Times New Roman"/><w:sz w:val="20"/><w:szCs w:val="20"/><w:spacing w:val="0"/></w:rPr><w:t xml:space="preserve">ASU 2016-13 and</w:t></w:r></w:p><w:p><w:pPr><w:jc w:val="start"/></w:pPr><w:r><w:rPr><w:rFonts w:ascii="Times New Roman" w:hAnsi="Times New Roman" w:eastAsia="Times New Roman" w:cs="Times New Roman"/><w:sz w:val="20"/><w:szCs w:val="20"/><w:spacing w:val="0"/></w:rPr><w:t xml:space="preserve"> the related updates are effective for fiscal years, and interim periods within those years, beginning after December 15, 2019 for public business entities excluding entities eligible to be smaller reporting companies and for fiscal years, and interim periods within those years, beginning after December 15, 2022 for all other entities. Early adoption is permitted. The Company will adopt this standard and the related improvements on January 1, 2023 by recognizing a cumulative-effect adjustment to retained earnings for any impact. The Company is currently assessing the adoption of </w:t></w:r></w:p><w:p><w:pPr><w:jc w:val="start"/></w:pPr><w:r><w:rPr><w:rFonts w:ascii="Times New Roman" w:hAnsi="Times New Roman" w:eastAsia="Times New Roman" w:cs="Times New Roman"/><w:sz w:val="20"/><w:szCs w:val="20"/><w:spacing w:val="0"/></w:rPr><w:t xml:space="preserve">ASU 2016-13</w:t></w:r></w:p><w:p><w:pPr><w:jc w:val="start"/></w:pPr><w:r><w:rPr><w:rFonts w:ascii="Times New Roman" w:hAnsi="Times New Roman" w:eastAsia="Times New Roman" w:cs="Times New Roman"/><w:sz w:val="20"/><w:szCs w:val="20"/><w:spacing w:val="0"/></w:rPr><w:t xml:space="preserve"> and the related impact on the Company’s consolidated financial statements.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10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3. Acquisition </w:t></w:r></w:p><w:p><w:pPr><w:jc w:val="start"/></w:pPr><w:r><w:rPr><w:rFonts w:ascii="&quot;Times New Roman&quot;" w:hAnsi="&quot;Times New Roman&quot;" w:eastAsia="&quot;Times New Roman&quot;" w:cs="&quot;Times New Roman&quot;"/><w:sz w:val="20"/><w:szCs w:val="20"/><w:spacing w:val="0"/></w:rPr><w:t xml:space="preserve">On September 17, 2020 (the “Acquisition Date”), the Company acquired certain assets and assumed certain liabilities of CPN Biosciences, LLC (“CPN”) pursuant to an asset purchase agreement dated July 24, 2020. CPN offered a physician office management solution and advanced wound care products. </w:t></w:r></w:p><w:p><w:pPr><w:jc w:val="start"/></w:pPr><w:r><w:rPr><w:rFonts w:ascii="Times New Roman" w:hAnsi="Times New Roman" w:eastAsia="Times New Roman" w:cs="Times New Roman"/><w:sz w:val="20"/><w:szCs w:val="20"/></w:rPr><w:t xml:space="preserve">The Company is obligated to pay a contingent consideration (the “Earnout”) to CPN’s former shareholders if CPN’s legacy product revenue in the Earnout Period (defined as a twelve-month period, starting on the first day of the next calendar quarter immediately following the post-closing sales meeting), exceeds CPN’s 2019 revenue. The amount of the Earnout, if any, will be equal to 70% of the excess and will be payable 60 days after the expiration of the Earnout Period. The post-closing sales meeting took place in April 2021 and the Earnout Period is July 1, 2021 to June 30, 2022. The Company recorded a </w:t></w:r></w:p><w:p><w:pPr><w:jc w:val="start"/></w:pPr><w:r><w:rPr><w:rFonts w:ascii="Times New Roman" w:hAnsi="Times New Roman" w:eastAsia="Times New Roman" w:cs="Times New Roman"/><w:sz w:val="20"/><w:szCs w:val="20"/><w:spacing w:val="0"/></w:rPr><w:t xml:space="preserve">non-current</w:t></w:r></w:p><w:p><w:pPr><w:jc w:val="start"/></w:pPr><w:r><w:rPr><w:rFonts w:ascii="Times New Roman" w:hAnsi="Times New Roman" w:eastAsia="Times New Roman" w:cs="Times New Roman"/><w:sz w:val="20"/><w:szCs w:val="20"/></w:rPr><w:t xml:space="preserve"> liability of $3,782 on the Acquisition Date for the fair value of the contingent consideration related to the expected Earnout. The Company assesses the fair value of the Earnout liability at each reporting period. As of September 30, 2021, the Earnout liability was estimated at $0 as a result of the Company’s updated assessment of the near-term market for the CPN product portfolio. Subsequent changes in the estimated fair value of the liability are reflected in earnings until the liability is settled (see Note “5. Fair Value Measurement of Financial Instruments”). </w:t></w:r></w:p><w:p><w:pPr><w:jc w:val="start"/></w:pPr><w:r><w:rPr><w:rFonts w:ascii="&quot;Times New Roman&quot;" w:hAnsi="&quot;Times New Roman&quot;" w:eastAsia="&quot;Times New Roman&quot;" w:cs="&quot;Times New Roman&quot;"/><w:sz w:val="20"/><w:szCs w:val="20"/><w:b w:val="1"/><w:bCs w:val="1"/><w:spacing w:val="0"/></w:rPr><w:t xml:space="preserve">4. Product and Geographic Sales </w:t></w:r></w:p><w:p><w:pPr><w:jc w:val="start"/></w:pPr><w:r><w:rPr><w:rFonts w:ascii="&quot;Times New Roman&quot;" w:hAnsi="&quot;Times New Roman&quot;" w:eastAsia="&quot;Times New Roman&quot;" w:cs="&quot;Times New Roman&quot;"/><w:sz w:val="20"/><w:szCs w:val="20"/><w:spacing w:val="0"/></w:rPr><w:t xml:space="preserve">The Company generates revenue through the sale of Advanced Wound Care and Surgical & Sports Medicine products. There is a single performance obligation in all of the Company’s contracts, which is the Company’s promise to transfer the Company’s products to customers based on specific payment and shipping terms in the arrangement. The entire transaction price reflects a single performance obligation. Product revenue is recognized when a customer obtains control of the Company’s products which occurs at a point in time and may be upon shipment, procedure date, or delivery, based on the terms of the contract. Revenue is recorded net of a reserve for returns, discounts and Group Purchasing Organization (“GPO”) rebates, which represent a direct reduction to the revenue recognized. These reductions are accrued at the time revenue is recognized, based upon historical experience and specific circumstances. For the three months ended September 30, 2021 and 2020, the Company recorded GPO fees of $794 and $1,013, respectively, as a direct reduction of revenue. For the nine months ended September 30, 2021 and 2020, the Company recorded GPO fees of $2,323 and $2,810, respectively, as a direct reduction of revenue.</w:t></w:r></w:p><w:p><w:pPr><w:jc w:val="start"/></w:pPr><w:r><w:rPr><w:rFonts w:ascii="&quot;Times New Roman&quot;" w:hAnsi="&quot;Times New Roman&quot;" w:eastAsia="&quot;Times New Roman&quot;" w:cs="&quot;Times New Roman&quot;"/><w:sz w:val="20"/><w:szCs w:val="20"/><w:spacing w:val="0"/></w:rPr><w:t xml:space="preserve">The following tables set forth revenue by product category: </w:t></w:r></w:p><w:p><w:pPr><w:jc w:val="start"/></w:pPr><w:r><w:rPr><w:sz w:val="24"/><w:szCs w:val="24"/><w:spacing w:val="0"/></w:rPr><w:t xml:space="preserve"> </w:t></w:r></w:p><w:tbl><w:tblGrid><w:gridCol w:w="3900" w:type="dxa"/><w:gridCol w:w="150" w:type="dxa"/><w:gridCol w:w="3800" w:type="dxa"/><w:gridCol w:w="3800" w:type="dxa"/><w:gridCol w:w="3800" w:type="dxa"/><w:gridCol w:w="150" w:type="dxa"/><w:gridCol w:w="3800" w:type="dxa"/><w:gridCol w:w="3800" w:type="dxa"/><w:gridCol w:w="3800" w:type="dxa"/></w:tblGrid><w:tblPr><w:tblW w:w="3800" w:type="pct"/><w:tblCellSpacing w:w="0" w:type="dxa"/><w:tblLayout w:type="autofit"/></w:tblPr><w:tr><w:trPr/><w:tc><w:tcPr><w:tcW w:w="3900" w:type="pct"/><w:noWrap/></w:tcPr><w:p><w:pPr/></w:p></w:tc><w:tc><w:tcPr><w:tcW w:w="150" w:type="pct"/><w:vAlign w:val="bottom"/><w:noWrap/></w:tcPr><w:p><w:pPr/></w:p></w:tc><w:tc><w:tcPr><w:tcW w:w="3800" w:type="pct"/><w:noWrap/></w:tcPr><w:p><w:pPr/></w:p></w:tc><w:tc><w:tcPr><w:tcW w:w="3800" w:type="pct"/><w:noWrap/></w:tcPr><w:p><w:pPr/></w:p></w:tc><w:tc><w:tcPr><w:tcW w:w="3800" w:type="pct"/><w:noWrap/></w:tcPr><w:p><w:pPr/></w:p></w:tc><w:tc><w:tcPr><w:tcW w:w="1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September 30,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Advanced Wound Care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107,341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89,990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Surgical & Sports Medicine</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6,412</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10,809</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net revenue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113,753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100,799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sz w:val="24"/><w:szCs w:val="24"/><w:spacing w:val="0"/></w:rPr><w:t xml:space="preserve"> </w:t></w:r></w:p><w:tbl><w:tblGrid><w:gridCol w:w="3900" w:type="dxa"/><w:gridCol w:w="150" w:type="dxa"/><w:gridCol w:w="3800" w:type="dxa"/><w:gridCol w:w="3800" w:type="dxa"/><w:gridCol w:w="3800" w:type="dxa"/><w:gridCol w:w="150" w:type="dxa"/><w:gridCol w:w="3800" w:type="dxa"/><w:gridCol w:w="3800" w:type="dxa"/><w:gridCol w:w="3800" w:type="dxa"/></w:tblGrid><w:tblPr><w:tblW w:w="3800" w:type="pct"/><w:tblCellSpacing w:w="0" w:type="dxa"/><w:tblLayout w:type="autofit"/></w:tblPr><w:tr><w:trPr/><w:tc><w:tcPr><w:tcW w:w="3900" w:type="pct"/><w:noWrap/></w:tcPr><w:p><w:pPr/></w:p></w:tc><w:tc><w:tcPr><w:tcW w:w="150" w:type="pct"/><w:vAlign w:val="bottom"/><w:noWrap/></w:tcPr><w:p><w:pPr/></w:p></w:tc><w:tc><w:tcPr><w:tcW w:w="3800" w:type="pct"/><w:noWrap/></w:tcPr><w:p><w:pPr/></w:p></w:tc><w:tc><w:tcPr><w:tcW w:w="3800" w:type="pct"/><w:noWrap/></w:tcPr><w:p><w:pPr/></w:p></w:tc><w:tc><w:tcPr><w:tcW w:w="3800" w:type="pct"/><w:noWrap/></w:tcPr><w:p><w:pPr/></w:p></w:tc><w:tc><w:tcPr><w:tcW w:w="1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6"/><w:noWrap/></w:tcPr><w:p><w:pPr><w:jc w:val="center"/></w:pPr><w:r><w:rPr><w:rFonts w:ascii="Times New Roman" w:hAnsi="Times New Roman" w:eastAsia="Times New Roman" w:cs="Times New Roman"/><w:sz w:val="16"/><w:szCs w:val="16"/><w:b w:val="1"/><w:bCs w:val="1"/><w:spacing w:val="0"/></w:rPr><w:t xml:space="preserve">Nine Months Ended</w:t></w:r><w:br/><w:r><w:rPr><w:rFonts w:ascii="Times New Roman" w:hAnsi="Times New Roman" w:eastAsia="Times New Roman" w:cs="Times New Roman"/><w:sz w:val="16"/><w:szCs w:val="16"/><w:b w:val="1"/><w:bCs w:val="1"/><w:spacing w:val="0"/></w:rPr><w:t xml:space="preserve">September 30,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Advanced Wound Care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309,485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201,009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Surgical & Sports Medicine</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30,016</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30,482</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net revenue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339,501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231,491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For all periods presented, net revenue generated outside the United States represented less than 1% of total net revenue.</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11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5. Fair Value of Financial Assets and Liabilities</w:t></w:r></w:p><w:p><w:pPr><w:jc w:val="start"/></w:pPr><w:r><w:rPr><w:rFonts w:ascii="&quot;Times New Roman&quot;" w:hAnsi="&quot;Times New Roman&quot;" w:eastAsia="&quot;Times New Roman&quot;" w:cs="&quot;Times New Roman&quot;"/><w:sz w:val="20"/><w:szCs w:val="20"/><w:spacing w:val="0"/></w:rPr><w:t xml:space="preserve">The following tables present information about the Company’s financial assets and liabilities measured at fair value on a recurring basis and indicate the level of the fair value hierarchy utilized to determine such fair values as of S</w:t></w:r></w:p><w:p><w:pPr><w:jc w:val="start"/></w:pPr><w:r><w:rPr><w:rFonts w:ascii="&quot;Times New Roman&quot;" w:hAnsi="&quot;Times New Roman&quot;" w:eastAsia="&quot;Times New Roman&quot;" w:cs="&quot;Times New Roman&quot;"/><w:sz w:val="20"/><w:szCs w:val="20"/><w:spacing w:val="0"/></w:rPr><w:t xml:space="preserve">e</w:t></w:r></w:p><w:p><w:pPr><w:jc w:val="start"/></w:pPr><w:r><w:rPr><w:rFonts w:ascii="&quot;Times New Roman&quot;" w:hAnsi="&quot;Times New Roman&quot;" w:eastAsia="&quot;Times New Roman&quot;" w:cs="&quot;Times New Roman&quot;"/><w:sz w:val="20"/><w:szCs w:val="20"/><w:spacing w:val="0"/></w:rPr><w:t xml:space="preserve">ptember 30, 2021 and December 31, 2020.</w:t></w:r></w:p><w:p><w:pPr><w:jc w:val="start"/></w:pPr><w:r><w:rPr><w:rFonts w:ascii="&quot;Times New Roman&quot;" w:hAnsi="&quot;Times New Roman&quot;" w:eastAsia="&quot;Times New Roman&quot;" w:cs="&quot;Times New Roman&quot;"/><w:sz w:val="20"/><w:szCs w:val="20"/><w:spacing w:val="0"/></w:rPr><w:t xml:space="preserve"> </w:t></w:r></w:p><w:tbl><w:tblGrid><w:gridCol w:w="37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700" w:type="pct"/><w:noWrap/></w:tcPr><w:p><w:pPr/><w:r><w:rPr><w:color w:val="white"/><w:sz w:val="16"/><w:szCs w:val="16"/></w:rPr><w:t xml:space="preserve"> </w:t></w:r></w:p></w:tc><w:tc><w:tcPr><w:tcW w:w="150" w:type="pct"/><w:vAlign w:val="bottom"/><w:noWrap/></w:tcPr><w:p><w:pPr/><w:r><w:rPr><w:color w:val="white"/><w:sz w:val="16"/><w:szCs w:val="16"/></w:rPr><w:t xml:space="preserve"> </w:t></w:r></w:p></w:tc><w:tc><w:tcPr><w:tcW w:w="4600" w:type="pct"/><w:noWrap/></w:tcPr><w:p><w:pPr/><w:r><w:rPr><w:color w:val="white"/><w:sz w:val="16"/><w:szCs w:val="16"/></w:rPr><w:t xml:space="preserve"> </w:t></w:r></w:p></w:tc><w:tc><w:tcPr><w:tcW w:w="4600" w:type="pct"/><w:noWrap/></w:tcPr><w:p><w:pPr/><w:r><w:rPr><w:color w:val="white"/><w:sz w:val="20"/><w:szCs w:val="20"/><w:spacing w:val="0"/></w:rPr><w:t xml:space="preserve">                  </w:t></w:r></w:p></w:tc><w:tc><w:tcPr><w:tcW w:w="4600" w:type="pct"/><w:noWrap/></w:tcPr><w:p><w:pPr/><w:r><w:rPr><w:color w:val="white"/><w:sz w:val="16"/><w:szCs w:val="16"/></w:rPr><w:t xml:space="preserve"> </w:t></w:r></w:p></w:tc><w:tc><w:tcPr><w:tcW w:w="150" w:type="pct"/><w:vAlign w:val="bottom"/><w:noWrap/></w:tcPr><w:p><w:pPr/><w:r><w:rPr><w:color w:val="white"/><w:sz w:val="16"/><w:szCs w:val="16"/></w:rPr><w:t xml:space="preserve"> </w:t></w:r></w:p></w:tc><w:tc><w:tcPr><w:tcW w:w="4600" w:type="pct"/><w:noWrap/></w:tcPr><w:p><w:pPr/><w:r><w:rPr><w:color w:val="white"/><w:sz w:val="16"/><w:szCs w:val="16"/></w:rPr><w:t xml:space="preserve"> </w:t></w:r></w:p></w:tc><w:tc><w:tcPr><w:tcW w:w="4600" w:type="pct"/><w:noWrap/></w:tcPr><w:p><w:pPr/><w:r><w:rPr><w:color w:val="white"/><w:sz w:val="20"/><w:szCs w:val="20"/><w:spacing w:val="0"/></w:rPr><w:t xml:space="preserve">                  </w:t></w:r></w:p></w:tc><w:tc><w:tcPr><w:tcW w:w="4600" w:type="pct"/><w:noWrap/></w:tcPr><w:p><w:pPr/><w:r><w:rPr><w:color w:val="white"/><w:sz w:val="16"/><w:szCs w:val="16"/></w:rPr><w:t xml:space="preserve"> </w:t></w:r></w:p></w:tc><w:tc><w:tcPr><w:tcW w:w="150" w:type="pct"/><w:vAlign w:val="bottom"/><w:noWrap/></w:tcPr><w:p><w:pPr/><w:r><w:rPr><w:color w:val="white"/><w:sz w:val="16"/><w:szCs w:val="16"/></w:rPr><w:t xml:space="preserve"> </w:t></w:r></w:p></w:tc><w:tc><w:tcPr><w:tcW w:w="4600" w:type="pct"/><w:noWrap/></w:tcPr><w:p><w:pPr/><w:r><w:rPr><w:color w:val="white"/><w:sz w:val="16"/><w:szCs w:val="16"/></w:rPr><w:t xml:space="preserve"> </w:t></w:r></w:p></w:tc><w:tc><w:tcPr><w:tcW w:w="4600" w:type="pct"/><w:noWrap/></w:tcPr><w:p><w:pPr/><w:r><w:rPr><w:color w:val="white"/><w:sz w:val="20"/><w:szCs w:val="20"/><w:spacing w:val="0"/></w:rPr><w:t xml:space="preserve">                  </w:t></w:r></w:p></w:tc><w:tc><w:tcPr><w:tcW w:w="4600" w:type="pct"/><w:noWrap/></w:tcPr><w:p><w:pPr/><w:r><w:rPr><w:color w:val="white"/><w:sz w:val="16"/><w:szCs w:val="16"/></w:rPr><w:t xml:space="preserve"> </w:t></w:r></w:p></w:tc><w:tc><w:tcPr><w:tcW w:w="150" w:type="pct"/><w:vAlign w:val="bottom"/><w:noWrap/></w:tcPr><w:p><w:pPr/><w:r><w:rPr><w:color w:val="white"/><w:sz w:val="16"/><w:szCs w:val="16"/></w:rPr><w:t xml:space="preserve"> </w:t></w:r></w:p></w:tc><w:tc><w:tcPr><w:tcW w:w="4600" w:type="pct"/><w:noWrap/></w:tcPr><w:p><w:pPr/><w:r><w:rPr><w:color w:val="white"/><w:sz w:val="16"/><w:szCs w:val="16"/></w:rPr><w:t xml:space="preserve"> </w:t></w:r></w:p></w:tc><w:tc><w:tcPr><w:tcW w:w="4600" w:type="pct"/><w:noWrap/></w:tcPr><w:p><w:pPr/><w:r><w:rPr><w:color w:val="white"/><w:sz w:val="20"/><w:szCs w:val="20"/><w:spacing w:val="0"/></w:rPr><w:t xml:space="preserve">                  </w:t></w:r></w:p></w:tc><w:tc><w:tcPr><w:tcW w:w="4600" w:type="pct"/><w:noWrap/></w:tcPr><w:p><w:pPr/><w:r><w:rPr><w:color w:val="white"/><w:sz w:val="16"/><w:szCs w:val="16"/></w:rPr><w:t xml:space="preserve"> </w:t></w:r></w:p></w:tc></w:tr><w:tr><w:trPr/><w:tc><w:tcPr><w:tcW w:w="4600" w:type="pct"/><w:vAlign w:val="bottom"/><w:noWrap/></w:tcPr><w:p><w:pPr/><w:r><w:rPr><w:sz w:val="16"/><w:szCs w:val="16"/><w:spacing w:val="0"/></w:rPr><w:t xml:space="preserve"> </w:t></w:r></w:p></w:tc><w:tc><w:tcPr><w:tcW w:w="4600" w:type="pct"/><w:vAlign w:val="bottom"/><w:noWrap/></w:tcPr><w:p><w:pPr/><w:r><w:rPr><w:sz w:val="16"/><w:szCs w:val="16"/><w:spacing w:val="0"/></w:rPr><w:t xml:space="preserve">  </w:t></w:r></w:p></w:tc><w:tc><w:tcPr><w:tcW w:w="4600" w:type="pct"/><w:vAlign w:val="bottom"/><w:gridSpan w:val="14"/><w:noWrap/></w:tcPr><w:p><w:pPr><w:jc w:val="center"/></w:pPr><w:r><w:rPr><w:rFonts w:ascii="&quot;Times New Roman&quot;" w:hAnsi="&quot;Times New Roman&quot;" w:eastAsia="&quot;Times New Roman&quot;" w:cs="&quot;Times New Roman&quot;"/><w:sz w:val="16"/><w:szCs w:val="16"/><w:b w:val="1"/><w:bCs w:val="1"/><w:spacing w:val="0"/></w:rPr><w:t xml:space="preserve">Fair Value Measurements</w:t></w:r></w:p></w:tc><w:tc><w:tcPr><w:tcW w:w="4600" w:type="pct"/><w:vAlign w:val="bottom"/><w:noWrap/></w:tcPr><w:p><w:pPr/><w:r><w:rPr><w:sz w:val="16"/><w:szCs w:val="16"/><w:spacing w:val="0"/></w:rPr><w:t xml:space="preserve"> </w:t></w:r></w:p></w:tc></w:tr><w:tr><w:trPr/><w:tc><w:tcPr><w:tcW w:w="4600" w:type="pct"/><w:vAlign w:val="bottom"/><w:noWrap/></w:tcPr><w:p><w:pPr/><w:r><w:rPr><w:sz w:val="16"/><w:szCs w:val="16"/><w:spacing w:val="0"/></w:rPr><w:t xml:space="preserve"> </w:t></w:r></w:p></w:tc><w:tc><w:tcPr><w:tcW w:w="4600" w:type="pct"/><w:vAlign w:val="bottom"/><w:noWrap/></w:tcPr><w:p><w:pPr/><w:r><w:rPr><w:sz w:val="16"/><w:szCs w:val="16"/><w:spacing w:val="0"/></w:rPr><w:t xml:space="preserve">  </w:t></w:r></w:p></w:tc><w:tc><w:tcPr><w:tcW w:w="4600" w:type="pct"/><w:vAlign w:val="bottom"/><w:tcBorders><w:bottom w:val="single" w:sz="10" w:color="solid"/></w:tcBorders><w:gridSpan w:val="14"/><w:noWrap/></w:tcPr><w:p><w:pPr><w:jc w:val="center"/></w:pPr><w:r><w:rPr><w:rFonts w:ascii="&quot;Times New Roman&quot;" w:hAnsi="&quot;Times New Roman&quot;" w:eastAsia="&quot;Times New Roman&quot;" w:cs="&quot;Times New Roman&quot;"/><w:sz w:val="16"/><w:szCs w:val="16"/><w:b w:val="1"/><w:bCs w:val="1"/><w:spacing w:val="0"/></w:rPr><w:t xml:space="preserve">as of September 30, 2021 Using:</w:t></w:r></w:p></w:tc><w:tc><w:tcPr><w:tcW w:w="4600" w:type="pct"/><w:vAlign w:val="bottom"/><w:noWrap/></w:tcPr><w:p><w:pPr/><w:r><w:rPr><w:sz w:val="16"/><w:szCs w:val="16"/><w:spacing w:val="0"/></w:rPr><w:t xml:space="preserve"> </w:t></w:r></w:p></w:tc></w:tr><w:tr><w:trPr/><w:tc><w:tcPr><w:tcW w:w="4600" w:type="pct"/><w:vAlign w:val="bottom"/><w:noWrap/></w:tcPr><w:p><w:pPr/><w:r><w:rPr><w:sz w:val="16"/><w:szCs w:val="16"/><w:spacing w:val="0"/></w:rPr><w:t xml:space="preserve"> </w:t></w:r></w:p></w:tc><w:tc><w:tcPr><w:tcW w:w="4600" w:type="pct"/><w:vAlign w:val="bottom"/><w:noWrap/></w:tcPr><w:p><w:pPr/><w:r><w:rPr><w:sz w:val="16"/><w:szCs w:val="16"/><w:spacing w:val="0"/></w:rPr><w:t xml:space="preserve">  </w:t></w:r></w:p></w:tc><w:tc><w:tcPr><w:tcW w:w="4600" w:type="pct"/><w:vAlign w:val="bottom"/><w:tcBorders><w:bottom w:val="single" w:sz="10" w:color="solid"/></w:tcBorders><w:gridSpan w:val="2"/><w:noWrap/></w:tcPr><w:p><w:pPr><w:jc w:val="center"/></w:pPr><w:r><w:rPr><w:rFonts w:ascii="&quot;Times New Roman&quot;" w:hAnsi="&quot;Times New Roman&quot;" w:eastAsia="&quot;Times New Roman&quot;" w:cs="&quot;Times New Roman&quot;"/><w:sz w:val="16"/><w:szCs w:val="16"/><w:b w:val="1"/><w:bCs w:val="1"/><w:spacing w:val="0"/></w:rPr><w:t xml:space="preserve">Level 1</w:t></w:r></w:p></w:tc><w:tc><w:tcPr><w:tcW w:w="4600" w:type="pct"/><w:vAlign w:val="bottom"/><w:noWrap/></w:tcPr><w:p><w:pPr/><w:r><w:rPr><w:sz w:val="16"/><w:szCs w:val="16"/><w:spacing w:val="0"/></w:rPr><w:t xml:space="preserve"> </w:t></w:r></w:p></w:tc><w:tc><w:tcPr><w:tcW w:w="4600" w:type="pct"/><w:vAlign w:val="bottom"/><w:noWrap/></w:tcPr><w:p><w:pPr/><w:r><w:rPr><w:sz w:val="16"/><w:szCs w:val="16"/><w:spacing w:val="0"/></w:rPr><w:t xml:space="preserve">  </w:t></w:r></w:p></w:tc><w:tc><w:tcPr><w:tcW w:w="4600" w:type="pct"/><w:vAlign w:val="bottom"/><w:tcBorders><w:bottom w:val="single" w:sz="10" w:color="solid"/></w:tcBorders><w:gridSpan w:val="2"/><w:noWrap/></w:tcPr><w:p><w:pPr><w:jc w:val="center"/></w:pPr><w:r><w:rPr><w:rFonts w:ascii="&quot;Times New Roman&quot;" w:hAnsi="&quot;Times New Roman&quot;" w:eastAsia="&quot;Times New Roman&quot;" w:cs="&quot;Times New Roman&quot;"/><w:sz w:val="16"/><w:szCs w:val="16"/><w:b w:val="1"/><w:bCs w:val="1"/><w:spacing w:val="0"/></w:rPr><w:t xml:space="preserve">Level 2</w:t></w:r></w:p></w:tc><w:tc><w:tcPr><w:tcW w:w="4600" w:type="pct"/><w:vAlign w:val="bottom"/><w:noWrap/></w:tcPr><w:p><w:pPr/><w:r><w:rPr><w:sz w:val="16"/><w:szCs w:val="16"/><w:spacing w:val="0"/></w:rPr><w:t xml:space="preserve"> </w:t></w:r></w:p></w:tc><w:tc><w:tcPr><w:tcW w:w="4600" w:type="pct"/><w:vAlign w:val="bottom"/><w:noWrap/></w:tcPr><w:p><w:pPr/><w:r><w:rPr><w:sz w:val="16"/><w:szCs w:val="16"/><w:spacing w:val="0"/></w:rPr><w:t xml:space="preserve">  </w:t></w:r></w:p></w:tc><w:tc><w:tcPr><w:tcW w:w="4600" w:type="pct"/><w:vAlign w:val="bottom"/><w:tcBorders><w:bottom w:val="single" w:sz="10" w:color="solid"/></w:tcBorders><w:gridSpan w:val="2"/><w:noWrap/></w:tcPr><w:p><w:pPr><w:jc w:val="center"/></w:pPr><w:r><w:rPr><w:rFonts w:ascii="&quot;Times New Roman&quot;" w:hAnsi="&quot;Times New Roman&quot;" w:eastAsia="&quot;Times New Roman&quot;" w:cs="&quot;Times New Roman&quot;"/><w:sz w:val="16"/><w:szCs w:val="16"/><w:b w:val="1"/><w:bCs w:val="1"/><w:spacing w:val="0"/></w:rPr><w:t xml:space="preserve">Level 3</w:t></w:r></w:p></w:tc><w:tc><w:tcPr><w:tcW w:w="4600" w:type="pct"/><w:vAlign w:val="bottom"/><w:noWrap/></w:tcPr><w:p><w:pPr/><w:r><w:rPr><w:sz w:val="16"/><w:szCs w:val="16"/><w:spacing w:val="0"/></w:rPr><w:t xml:space="preserve"> </w:t></w:r></w:p></w:tc><w:tc><w:tcPr><w:tcW w:w="4600" w:type="pct"/><w:vAlign w:val="bottom"/><w:noWrap/></w:tcPr><w:p><w:pPr/><w:r><w:rPr><w:sz w:val="16"/><w:szCs w:val="16"/><w:spacing w:val="0"/></w:rPr><w:t xml:space="preserve">  </w:t></w:r></w:p></w:tc><w:tc><w:tcPr><w:tcW w:w="4600" w:type="pct"/><w:vAlign w:val="bottom"/><w:tcBorders><w:bottom w:val="single" w:sz="10" w:color="solid"/></w:tcBorders><w:gridSpan w:val="2"/><w:noWrap/></w:tcPr><w:p><w:pPr><w:jc w:val="center"/></w:pPr><w:r><w:rPr><w:rFonts w:ascii="&quot;Times New Roman&quot;" w:hAnsi="&quot;Times New Roman&quot;" w:eastAsia="&quot;Times New Roman&quot;" w:cs="&quot;Times New Roman&quot;"/><w:sz w:val="16"/><w:szCs w:val="16"/><w:b w:val="1"/><w:bCs w:val="1"/><w:spacing w:val="0"/></w:rPr><w:t xml:space="preserve">Total</w:t></w:r></w:p></w:tc><w:tc><w:tcPr><w:tcW w:w="4600" w:type="pct"/><w:vAlign w:val="bottom"/><w:noWrap/></w:tcPr><w:p><w:pPr/><w:r><w:rPr><w:sz w:val="16"/><w:szCs w:val="16"/><w:spacing w:val="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Liabilities:</w:t></w:r></w:p></w:tc><w:tc><w:tcPr><w:tcW w:w="1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Earnout liability</w:t></w:r></w:p></w:tc><w:tc><w:tcPr><w:tcW w:w="15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15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15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15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15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15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15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r><w:tr><w:trPr/><w:tc><w:tcPr><w:tcW w:w="4600" w:type="pct"/><w:noWrap/></w:tcPr><w:p><w:pPr/><w:r><w:rPr><w:sz w:val="2"/><w:szCs w:val="2"/></w:rPr><w:t xml:space="preserve"> </w:t></w:r></w:p></w:tc><w:tc><w:tcPr><w:tcW w:w="4600" w:type="pct"/><w:gridSpan w:val="16"/><w:noWrap/></w:tcPr><w:p><w:pPr/><w:r><w:rPr><w:sz w:val="2"/><w:szCs w:val="2"/></w:rPr><w:t xml:space="preserve"> </w:t></w:r></w:p></w:tc></w:tr><w:tr><w:trPr/><w:tc><w:tcPr><w:tcW w:w="4600" w:type="pct"/><w:vAlign w:val="bottom"/><w:noWrap/></w:tcPr><w:p><w:pPr/><w:r><w:rPr><w:sz w:val="16"/><w:szCs w:val="16"/><w:spacing w:val="0"/></w:rPr><w:t xml:space="preserve"> </w:t></w:r></w:p></w:tc><w:tc><w:tcPr><w:tcW w:w="4600" w:type="pct"/><w:vAlign w:val="bottom"/><w:noWrap/></w:tcPr><w:p><w:pPr/><w:r><w:rPr><w:sz w:val="16"/><w:szCs w:val="16"/><w:spacing w:val="0"/></w:rPr><w:t xml:space="preserve">  </w:t></w:r></w:p></w:tc><w:tc><w:tcPr><w:tcW w:w="4600" w:type="pct"/><w:vAlign w:val="bottom"/><w:gridSpan w:val="14"/><w:noWrap/></w:tcPr><w:p><w:pPr><w:jc w:val="center"/></w:pPr><w:r><w:rPr><w:rFonts w:ascii="&quot;Times New Roman&quot;" w:hAnsi="&quot;Times New Roman&quot;" w:eastAsia="&quot;Times New Roman&quot;" w:cs="&quot;Times New Roman&quot;"/><w:sz w:val="16"/><w:szCs w:val="16"/><w:b w:val="1"/><w:bCs w:val="1"/><w:spacing w:val="0"/></w:rPr><w:t xml:space="preserve">Fair Value Measurements</w:t></w:r></w:p></w:tc><w:tc><w:tcPr><w:tcW w:w="4600" w:type="pct"/><w:vAlign w:val="bottom"/><w:noWrap/></w:tcPr><w:p><w:pPr/><w:r><w:rPr><w:sz w:val="16"/><w:szCs w:val="16"/><w:spacing w:val="0"/></w:rPr><w:t xml:space="preserve"> </w:t></w:r></w:p></w:tc></w:tr><w:tr><w:trPr/><w:tc><w:tcPr><w:tcW w:w="4600" w:type="pct"/><w:vAlign w:val="bottom"/><w:noWrap/></w:tcPr><w:p><w:pPr/><w:r><w:rPr><w:sz w:val="16"/><w:szCs w:val="16"/><w:spacing w:val="0"/></w:rPr><w:t xml:space="preserve"> </w:t></w:r></w:p></w:tc><w:tc><w:tcPr><w:tcW w:w="4600" w:type="pct"/><w:vAlign w:val="bottom"/><w:noWrap/></w:tcPr><w:p><w:pPr/><w:r><w:rPr><w:sz w:val="16"/><w:szCs w:val="16"/><w:spacing w:val="0"/></w:rPr><w:t xml:space="preserve">  </w:t></w:r></w:p></w:tc><w:tc><w:tcPr><w:tcW w:w="4600" w:type="pct"/><w:vAlign w:val="bottom"/><w:tcBorders><w:bottom w:val="single" w:sz="10" w:color="solid"/></w:tcBorders><w:gridSpan w:val="14"/><w:noWrap/></w:tcPr><w:p><w:pPr><w:jc w:val="center"/></w:pPr><w:r><w:rPr><w:rFonts w:ascii="&quot;Times New Roman&quot;" w:hAnsi="&quot;Times New Roman&quot;" w:eastAsia="&quot;Times New Roman&quot;" w:cs="&quot;Times New Roman&quot;"/><w:sz w:val="16"/><w:szCs w:val="16"/><w:b w:val="1"/><w:bCs w:val="1"/><w:spacing w:val="0"/></w:rPr><w:t xml:space="preserve">as of December 31, 2020 Using:</w:t></w:r></w:p></w:tc><w:tc><w:tcPr><w:tcW w:w="4600" w:type="pct"/><w:vAlign w:val="bottom"/><w:noWrap/></w:tcPr><w:p><w:pPr/><w:r><w:rPr><w:sz w:val="16"/><w:szCs w:val="16"/><w:spacing w:val="0"/></w:rPr><w:t xml:space="preserve"> </w:t></w:r></w:p></w:tc></w:tr><w:tr><w:trPr/><w:tc><w:tcPr><w:tcW w:w="4600" w:type="pct"/><w:vAlign w:val="bottom"/><w:noWrap/></w:tcPr><w:p><w:pPr/><w:r><w:rPr><w:sz w:val="16"/><w:szCs w:val="16"/><w:spacing w:val="0"/></w:rPr><w:t xml:space="preserve"> </w:t></w:r></w:p></w:tc><w:tc><w:tcPr><w:tcW w:w="4600" w:type="pct"/><w:vAlign w:val="bottom"/><w:noWrap/></w:tcPr><w:p><w:pPr/><w:r><w:rPr><w:sz w:val="16"/><w:szCs w:val="16"/><w:spacing w:val="0"/></w:rPr><w:t xml:space="preserve">  </w:t></w:r></w:p></w:tc><w:tc><w:tcPr><w:tcW w:w="4600" w:type="pct"/><w:vAlign w:val="bottom"/><w:tcBorders><w:bottom w:val="single" w:sz="10" w:color="solid"/></w:tcBorders><w:gridSpan w:val="2"/><w:noWrap/></w:tcPr><w:p><w:pPr><w:jc w:val="center"/></w:pPr><w:r><w:rPr><w:rFonts w:ascii="&quot;Times New Roman&quot;" w:hAnsi="&quot;Times New Roman&quot;" w:eastAsia="&quot;Times New Roman&quot;" w:cs="&quot;Times New Roman&quot;"/><w:sz w:val="16"/><w:szCs w:val="16"/><w:b w:val="1"/><w:bCs w:val="1"/><w:spacing w:val="0"/></w:rPr><w:t xml:space="preserve">Level 1</w:t></w:r></w:p></w:tc><w:tc><w:tcPr><w:tcW w:w="4600" w:type="pct"/><w:vAlign w:val="bottom"/><w:noWrap/></w:tcPr><w:p><w:pPr/><w:r><w:rPr><w:sz w:val="16"/><w:szCs w:val="16"/><w:spacing w:val="0"/></w:rPr><w:t xml:space="preserve"> </w:t></w:r></w:p></w:tc><w:tc><w:tcPr><w:tcW w:w="4600" w:type="pct"/><w:vAlign w:val="bottom"/><w:noWrap/></w:tcPr><w:p><w:pPr/><w:r><w:rPr><w:sz w:val="16"/><w:szCs w:val="16"/><w:spacing w:val="0"/></w:rPr><w:t xml:space="preserve">  </w:t></w:r></w:p></w:tc><w:tc><w:tcPr><w:tcW w:w="4600" w:type="pct"/><w:vAlign w:val="bottom"/><w:tcBorders><w:bottom w:val="single" w:sz="10" w:color="solid"/></w:tcBorders><w:gridSpan w:val="2"/><w:noWrap/></w:tcPr><w:p><w:pPr><w:jc w:val="center"/></w:pPr><w:r><w:rPr><w:rFonts w:ascii="&quot;Times New Roman&quot;" w:hAnsi="&quot;Times New Roman&quot;" w:eastAsia="&quot;Times New Roman&quot;" w:cs="&quot;Times New Roman&quot;"/><w:sz w:val="16"/><w:szCs w:val="16"/><w:b w:val="1"/><w:bCs w:val="1"/><w:spacing w:val="0"/></w:rPr><w:t xml:space="preserve">Level 2</w:t></w:r></w:p></w:tc><w:tc><w:tcPr><w:tcW w:w="4600" w:type="pct"/><w:vAlign w:val="bottom"/><w:noWrap/></w:tcPr><w:p><w:pPr/><w:r><w:rPr><w:sz w:val="16"/><w:szCs w:val="16"/><w:spacing w:val="0"/></w:rPr><w:t xml:space="preserve"> </w:t></w:r></w:p></w:tc><w:tc><w:tcPr><w:tcW w:w="4600" w:type="pct"/><w:vAlign w:val="bottom"/><w:noWrap/></w:tcPr><w:p><w:pPr/><w:r><w:rPr><w:sz w:val="16"/><w:szCs w:val="16"/><w:spacing w:val="0"/></w:rPr><w:t xml:space="preserve">  </w:t></w:r></w:p></w:tc><w:tc><w:tcPr><w:tcW w:w="4600" w:type="pct"/><w:vAlign w:val="bottom"/><w:tcBorders><w:bottom w:val="single" w:sz="10" w:color="solid"/></w:tcBorders><w:gridSpan w:val="2"/><w:noWrap/></w:tcPr><w:p><w:pPr><w:jc w:val="center"/></w:pPr><w:r><w:rPr><w:rFonts w:ascii="&quot;Times New Roman&quot;" w:hAnsi="&quot;Times New Roman&quot;" w:eastAsia="&quot;Times New Roman&quot;" w:cs="&quot;Times New Roman&quot;"/><w:sz w:val="16"/><w:szCs w:val="16"/><w:b w:val="1"/><w:bCs w:val="1"/><w:spacing w:val="0"/></w:rPr><w:t xml:space="preserve">Level 3</w:t></w:r></w:p></w:tc><w:tc><w:tcPr><w:tcW w:w="4600" w:type="pct"/><w:vAlign w:val="bottom"/><w:noWrap/></w:tcPr><w:p><w:pPr/><w:r><w:rPr><w:sz w:val="16"/><w:szCs w:val="16"/><w:spacing w:val="0"/></w:rPr><w:t xml:space="preserve"> </w:t></w:r></w:p></w:tc><w:tc><w:tcPr><w:tcW w:w="4600" w:type="pct"/><w:vAlign w:val="bottom"/><w:noWrap/></w:tcPr><w:p><w:pPr/><w:r><w:rPr><w:sz w:val="16"/><w:szCs w:val="16"/><w:spacing w:val="0"/></w:rPr><w:t xml:space="preserve">  </w:t></w:r></w:p></w:tc><w:tc><w:tcPr><w:tcW w:w="4600" w:type="pct"/><w:vAlign w:val="bottom"/><w:tcBorders><w:bottom w:val="single" w:sz="10" w:color="solid"/></w:tcBorders><w:gridSpan w:val="2"/><w:noWrap/></w:tcPr><w:p><w:pPr><w:jc w:val="center"/></w:pPr><w:r><w:rPr><w:rFonts w:ascii="&quot;Times New Roman&quot;" w:hAnsi="&quot;Times New Roman&quot;" w:eastAsia="&quot;Times New Roman&quot;" w:cs="&quot;Times New Roman&quot;"/><w:sz w:val="16"/><w:szCs w:val="16"/><w:b w:val="1"/><w:bCs w:val="1"/><w:spacing w:val="0"/></w:rPr><w:t xml:space="preserve">Total</w:t></w:r></w:p></w:tc><w:tc><w:tcPr><w:tcW w:w="4600" w:type="pct"/><w:vAlign w:val="bottom"/><w:noWrap/></w:tcPr><w:p><w:pPr/><w:r><w:rPr><w:sz w:val="16"/><w:szCs w:val="16"/><w:spacing w:val="0"/></w:rPr><w:t xml:space="preserve"> </w:t></w:r></w:p></w:tc></w:tr><w:tr><w:trPr/><w:tc><w:tcPr><w:tcW w:w="37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Liabilities:</w:t></w:r></w:p></w:tc><w:tc><w:tcPr><w:tcW w:w="1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00" w:type="pct"/><w:vAlign w:val="top"/><w:noWrap/></w:tcPr><w:p><w:pPr/><w:r><w:rPr><w:rFonts w:ascii="&quot;Times New Roman&quot;" w:hAnsi="&quot;Times New Roman&quot;" w:eastAsia="&quot;Times New Roman&quot;" w:cs="&quot;Times New Roman&quot;"/><w:sz w:val="20"/><w:szCs w:val="20"/><w:spacing w:val="0"/></w:rPr><w:t xml:space="preserve">Earnout liability</w:t></w:r></w:p></w:tc><w:tc><w:tcPr><w:tcW w:w="15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15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15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3,985</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15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3,985</w:t></w:r></w:p></w:tc><w:tc><w:tcPr><w:tcW w:w="4600" w:type="pct"/><w:vAlign w:val="bottom"/><w:noWrap/></w:tcPr><w:p><w:pPr/><w:r><w:rPr><w:rFonts w:ascii="&quot;Times New Roman&quot;" w:hAnsi="&quot;Times New Roman&quot;" w:eastAsia="&quot;Times New Roman&quot;" w:cs="&quot;Times New Roman&quot;"/><w:sz w:val="20"/><w:szCs w:val="20"/><w:spacing w:val="0"/></w:rPr><w:t xml:space="preserve"> </w:t></w:r></w:p></w:tc></w:tr><w:tr><w:trPr/><w:tc><w:tcPr><w:tcW w:w="37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r><w:tr><w:trPr/><w:tc><w:tcPr><w:tcW w:w="3700" w:type="pct"/><w:vAlign w:val="top"/><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15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15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3,985</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15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3,985</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37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15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r></w:tbl><w:p><w:pPr><w:jc w:val="start"/></w:pPr><w:r><w:rPr><w:rFonts w:ascii="&quot;Times New Roman&quot;" w:hAnsi="&quot;Times New Roman&quot;" w:eastAsia="&quot;Times New Roman&quot;" w:cs="&quot;Times New Roman&quot;"/><w:sz w:val="20"/><w:szCs w:val="20"/><w:b w:val="1"/><w:bCs w:val="1"/><w:i w:val="1"/><w:iCs w:val="1"/><w:spacing w:val="0"/></w:rPr><w:t xml:space="preserve">Earnout Liability </w:t></w:r></w:p><w:p><w:pPr><w:jc w:val="start"/></w:pPr><w:r><w:rPr><w:rFonts w:ascii="&quot;Times New Roman&quot;" w:hAnsi="&quot;Times New Roman&quot;" w:eastAsia="&quot;Times New Roman&quot;" w:cs="&quot;Times New Roman&quot;"/><w:sz w:val="20"/><w:szCs w:val="20"/><w:spacing w:val="0"/></w:rPr><w:t xml:space="preserve">In connection with accounting for the CPN acquisition on September 17, 2020, the Company recorded an Earnout liability of $3,782 on the Acquisition Date, representing the fair value of contingent consideration payable upon the ach</w:t></w:r></w:p><w:p><w:pPr><w:jc w:val="start"/></w:pPr><w:r><w:rPr><w:rFonts w:ascii="&quot;Times New Roman&quot;" w:hAnsi="&quot;Times New Roman&quot;" w:eastAsia="&quot;Times New Roman&quot;" w:cs="&quot;Times New Roman&quot;"/><w:sz w:val="20"/><w:szCs w:val="20"/><w:spacing w:val="0"/></w:rPr><w:t xml:space="preserve">i</w:t></w:r></w:p><w:p><w:pPr><w:jc w:val="start"/></w:pPr><w:r><w:rPr><w:rFonts w:ascii="&quot;Times New Roman&quot;" w:hAnsi="&quot;Times New Roman&quot;" w:eastAsia="&quot;Times New Roman&quot;" w:cs="&quot;Times New Roman&quot;"/><w:sz w:val="20"/><w:szCs w:val="20"/><w:spacing w:val="0"/></w:rPr><w:t xml:space="preserve">evement of a certain revenue target. The Earnout Liability is classified as a Level 3 measurement within the fair value hierarchy for which fair value is derived from inputs that are unobservable and significant to the overall fair value measurement. The fair value of such Earnout Liability is estimated using a Monte Carlo simulation model that utilizes key assumptions including forecasted revenues and volatilities of the underlying financial metrics during the Earnout period. The Company assesses the fair value of the Earnout liability at each reporting period. Any subsequent changes in the estimated fair value of the liability are reflected in selling, general and administrative expenses until the liability is settled. For more information about the Earnout liability, refer to Note “3. Acquisition”. As of September 30, 2021, the Earnout liability decreased to $0 as a result of the Company’s updated assessment of the near-term market for the CPN product portfolio. The following table provides a roll-forward of the fair value of the Company’s Earnout liability, for which fair value is determined using Level 3 inputs:</w:t></w:r></w:p><w:p><w:pPr><w:jc w:val="start"/></w:pPr><w:r><w:rPr><w:sz w:val="24"/><w:szCs w:val="24"/><w:spacing w:val="0"/></w:rPr><w:t xml:space="preserve"> </w:t></w:r></w:p><w:tbl><w:tblGrid><w:gridCol w:w="4100" w:type="dxa"/><w:gridCol w:w="600" w:type="dxa"/><w:gridCol w:w="3400" w:type="dxa"/><w:gridCol w:w="3400" w:type="dxa"/><w:gridCol w:w="3400" w:type="dxa"/></w:tblGrid><w:tblPr><w:tblW w:w="3400" w:type="pct"/><w:tblCellSpacing w:w="0" w:type="dxa"/><w:tblLayout w:type="autofit"/></w:tblPr><w:tr><w:trPr/><w:tc><w:tcPr><w:tcW w:w="4100" w:type="pct"/><w:noWrap/></w:tcPr><w:p><w:pPr/></w:p></w:tc><w:tc><w:tcPr><w:tcW w:w="600" w:type="pct"/><w:vAlign w:val="bottom"/><w:noWrap/></w:tcPr><w:p><w:pPr/></w:p></w:tc><w:tc><w:tcPr><w:tcW w:w="3400" w:type="pct"/><w:noWrap/></w:tcPr><w:p><w:pPr/></w:p></w:tc><w:tc><w:tcPr><w:tcW w:w="3400" w:type="pct"/><w:noWrap/></w:tcPr><w:p><w:pPr/></w:p></w:tc><w:tc><w:tcPr><w:tcW w:w="3400" w:type="pct"/><w:noWrap/></w:tcPr><w:p><w:pPr/></w:p></w:tc></w:tr><w:tr><w:trPr/><w:tc><w:tcPr><w:tcW w:w="3400" w:type="pct"/><w:vAlign w:val="bottom"/><w:noWrap/></w:tcPr><w:p><w:pPr/><w:r><w:rPr><w:rFonts w:ascii="Times New Roman" w:hAnsi="Times New Roman" w:eastAsia="Times New Roman" w:cs="Times New Roman"/><w:sz w:val="16"/><w:szCs w:val="16"/><w:spacing w:val="0"/></w:rPr><w:t xml:space="preserve"> </w:t></w:r></w:p></w:tc><w:tc><w:tcPr><w:tcW w:w="3400" w:type="pct"/><w:vAlign w:val="bottom"/><w:noWrap/></w:tcPr><w:p><w:pPr/><w:r><w:rPr><w:rFonts w:ascii="Times New Roman" w:hAnsi="Times New Roman" w:eastAsia="Times New Roman" w:cs="Times New Roman"/><w:sz w:val="16"/><w:szCs w:val="16"/><w:spacing w:val="0"/></w:rPr><w:t xml:space="preserve">  </w:t></w:r></w:p></w:tc><w:tc><w:tcPr><w:tcW w:w="34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Earnout liability</w:t></w:r></w:p></w:tc><w:tc><w:tcPr><w:tcW w:w="3400" w:type="pct"/><w:vAlign w:val="bottom"/><w:noWrap/></w:tcPr><w:p><w:pPr/><w:r><w:rPr><w:rFonts w:ascii="Times New Roman" w:hAnsi="Times New Roman" w:eastAsia="Times New Roman" w:cs="Times New Roman"/><w:sz w:val="16"/><w:szCs w:val="16"/><w:spacing w:val="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Balance as of December 31, 2020</w:t></w:r></w:p></w:tc><w:tc><w:tcPr><w:tcW w:w="6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3,985</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Change in fair value</w:t></w:r></w:p></w:tc><w:tc><w:tcPr><w:tcW w:w="6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(3,985</w:t></w:r></w:p></w:tc><w:tc><w:tcPr><w:tcW w:w="3400" w:type="pct"/><w:vAlign w:val="bottom"/><w:noWrap/></w:tcPr><w:p><w:pPr/><w:r><w:rPr><w:rFonts w:ascii="Times New Roman" w:hAnsi="Times New Roman" w:eastAsia="Times New Roman" w:cs="Times New Roman"/><w:sz w:val="20"/><w:szCs w:val="20"/></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600" w:type="pct"/><w:vAlign w:val="bottom"/><w:noWrap/></w:tcPr><w:p><w:pPr/><w:r><w:rPr><w:rFonts w:ascii="&quot;Times New Roman&quot;" w:hAnsi="&quot;Times New Roman&quot;" w:eastAsia="&quot;Times New Roman&quot;" w:cs="&quot;Times New Roman&quot;"/><w:sz w:val="1.5"/><w:szCs w:val="1.5"/></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noWrap/></w:tcPr><w:p><w:pPr/><w:r><w:rPr><w:rFonts w:ascii="&quot;Times New Roman&quot;" w:hAnsi="&quot;Times New Roman&quot;" w:eastAsia="&quot;Times New Roman&quot;" w:cs="&quot;Times New Roman&quot;"/><w:sz w:val="1.5"/><w:szCs w:val="1.5"/></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Balance as of September 30, 2021</w:t></w:r></w:p></w:tc><w:tc><w:tcPr><w:tcW w:w="6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600" w:type="pct"/><w:vAlign w:val="bottom"/><w:noWrap/></w:tcPr><w:p><w:pPr/><w:r><w:rPr><w:rFonts w:ascii="&quot;Times New Roman&quot;" w:hAnsi="&quot;Times New Roman&quot;" w:eastAsia="&quot;Times New Roman&quot;" w:cs="&quot;Times New Roman&quot;"/><w:sz w:val="1.5"/><w:szCs w:val="1.5"/></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noWrap/></w:tcPr><w:p><w:pPr/><w:r><w:rPr><w:rFonts w:ascii="&quot;Times New Roman&quot;" w:hAnsi="&quot;Times New Roman&quot;" w:eastAsia="&quot;Times New Roman&quot;" w:cs="&quot;Times New Roman&quot;"/><w:sz w:val="1.5"/><w:szCs w:val="1.5"/></w:rPr><w:t xml:space="preserve"> </w:t></w:r></w:p></w:tc></w:tr></w:tbl><w:p><w:pPr><w:jc w:val="start"/></w:pPr><w:r><w:rPr><w:rFonts w:ascii="Times New Roman" w:hAnsi="Times New Roman" w:eastAsia="Times New Roman" w:cs="Times New Roman"/><w:sz w:val="20"/><w:szCs w:val="20"/></w:rPr><w:t xml:space="preserve">The Company did not have any financial assets and liabilities measured at fair value on a </w:t></w:r></w:p><w:p><w:pPr><w:jc w:val="start"/></w:pPr><w:r><w:rPr><w:rFonts w:ascii="Times New Roman" w:hAnsi="Times New Roman" w:eastAsia="Times New Roman" w:cs="Times New Roman"/><w:sz w:val="20"/><w:szCs w:val="20"/><w:spacing w:val="0"/></w:rPr><w:t xml:space="preserve">non-recurring</w:t></w:r></w:p><w:p><w:pPr><w:jc w:val="start"/></w:pPr><w:r><w:rPr><w:rFonts w:ascii="Times New Roman" w:hAnsi="Times New Roman" w:eastAsia="Times New Roman" w:cs="Times New Roman"/><w:sz w:val="20"/><w:szCs w:val="20"/></w:rPr><w:t xml:space="preserve"> basis as of September 30, 2021 and December 31, 2020. </w:t></w:r></w:p><w:p><w:pPr><w:jc w:val="start"/></w:pPr><w:r><w:rPr><w:rFonts w:ascii="&quot;Times New Roman&quot;" w:hAnsi="&quot;Times New Roman&quot;" w:eastAsia="&quot;Times New Roman&quot;" w:cs="&quot;Times New Roman&quot;"/><w:sz w:val="20"/><w:szCs w:val="20"/><w:b w:val="1"/><w:bCs w:val="1"/><w:spacing w:val="0"/></w:rPr><w:t xml:space="preserve">6. Accounts Receivable, Net </w:t></w:r></w:p><w:p><w:pPr><w:jc w:val="start"/></w:pPr><w:r><w:rPr><w:rFonts w:ascii="&quot;Times New Roman&quot;" w:hAnsi="&quot;Times New Roman&quot;" w:eastAsia="&quot;Times New Roman&quot;" w:cs="&quot;Times New Roman&quot;"/><w:sz w:val="20"/><w:szCs w:val="20"/><w:spacing w:val="0"/></w:rPr><w:t xml:space="preserve">Accounts receivable consisted of the following: </w:t></w:r></w:p><w:p><w:pPr><w:jc w:val="start"/></w:pPr><w:r><w:rPr><w:sz w:val="24"/><w:szCs w:val="24"/><w:spacing w:val="0"/></w:rPr><w:t xml:space="preserve"> </w:t></w:r></w:p><w:tbl><w:tblGrid><w:gridCol w:w="3650" w:type="dxa"/><w:gridCol w:w="350" w:type="dxa"/><w:gridCol w:w="3800" w:type="dxa"/><w:gridCol w:w="3800" w:type="dxa"/><w:gridCol w:w="3800" w:type="dxa"/><w:gridCol w:w="300" w:type="dxa"/><w:gridCol w:w="3800" w:type="dxa"/><w:gridCol w:w="3800" w:type="dxa"/><w:gridCol w:w="3800" w:type="dxa"/></w:tblGrid><w:tblPr><w:tblW w:w="3800" w:type="pct"/><w:tblCellSpacing w:w="0" w:type="dxa"/><w:tblLayout w:type="autofit"/></w:tblPr><w:tr><w:trPr/><w:tc><w:tcPr><w:tcW w:w="3650" w:type="pct"/><w:noWrap/></w:tcPr><w:p><w:pPr/></w:p></w:tc><w:tc><w:tcPr><w:tcW w:w="350" w:type="pct"/><w:vAlign w:val="bottom"/><w:noWrap/></w:tcPr><w:p><w:pPr/></w:p></w:tc><w:tc><w:tcPr><w:tcW w:w="3800" w:type="pct"/><w:noWrap/></w:tcPr><w:p><w:pPr/></w:p></w:tc><w:tc><w:tcPr><w:tcW w:w="3800" w:type="pct"/><w:noWrap/></w:tcPr><w:p><w:pPr/></w:p></w:tc><w:tc><w:tcPr><w:tcW w:w="3800" w:type="pct"/><w:noWrap/></w:tcPr><w:p><w:pPr/></w:p></w:tc><w:tc><w:tcPr><w:tcW w:w="3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September 30,</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spacing w:val="0"/></w:rPr><w:t xml:space="preserve"> </w:t></w:r></w:p></w:tc></w:tr><w:tr><w:trPr/><w:tc><w:tcPr><w:tcW w:w="36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Accounts receivable</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81,925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61,792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50" w:type="pct"/><w:vAlign w:val="top"/><w:noWrap/></w:tcPr><w:p><w:pPr/><w:r><w:rPr><w:rFonts w:ascii="&quot;Times New Roman&quot;" w:hAnsi="&quot;Times New Roman&quot;" w:eastAsia="&quot;Times New Roman&quot;" w:cs="&quot;Times New Roman&quot;"/><w:sz w:val="20"/><w:szCs w:val="20"/><w:spacing w:val="0"/></w:rPr><w:t xml:space="preserve">Less — allowance for sales returns and doubtful accounts</w:t></w:r></w:p></w:tc><w:tc><w:tcPr><w:tcW w:w="3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(7,342</w:t></w:r></w:p></w:tc><w:tc><w:tcPr><w:tcW w:w="3800" w:type="pct"/><w:vAlign w:val="bottom"/><w:noWrap/></w:tcPr><w:p><w:pPr/><w:r><w:rPr><w:rFonts w:ascii="Times New Roman" w:hAnsi="Times New Roman" w:eastAsia="Times New Roman" w:cs="Times New Roman"/><w:sz w:val="20"/><w:szCs w:val="20"/></w:rPr><w:t xml:space="preserve">) </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(4,988</w:t></w:r></w:p></w:tc><w:tc><w:tcPr><w:tcW w:w="3800" w:type="pct"/><w:vAlign w:val="bottom"/><w:noWrap/></w:tcPr><w:p><w:pPr/><w:r><w:rPr><w:rFonts w:ascii="Times New Roman" w:hAnsi="Times New Roman" w:eastAsia="Times New Roman" w:cs="Times New Roman"/><w:sz w:val="20"/><w:szCs w:val="20"/></w:rPr><w:t xml:space="preserve">) </w:t></w:r></w:p></w:tc></w:tr><w:tr><w:trPr/><w:tc><w:tcPr><w:tcW w:w="3650" w:type="pct"/><w:vAlign w:val="bottom"/><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650" w:type="pct"/><w:vAlign w:val="top"/><w:shd w:val="clear" w:fill="CCEEFF"/><w:noWrap/></w:tcPr><w:p><w:pPr/><w:r><w:rPr><w:rFonts w:ascii="&quot;Times New Roman&quot;" w:hAnsi="&quot;Times New Roman&quot;" w:eastAsia="&quot;Times New Roman&quot;" w:cs="&quot;Times New Roman&quot;"/><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74,583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56,804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50" w:type="pct"/><w:vAlign w:val="bottom"/><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tbl><w:tblGrid><w:gridCol w:w="3800" w:type="dxa"/></w:tblGrid><w:tblPr><w:tblW w:w="3800" w:type="pct"/><w:tblCellSpacing w:w="0" w:type="dxa"/><w:tblLayout w:type="autofit"/></w:tblPr><w:tr><w:trPr/><w:tc><w:tcPr><w:tcW w:w="3800" w:type="pct"/><w:noWrap/></w:tcPr><w:p><w:pP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The Company’s allowance for sales returns and doubtful accounts was comprised of the following: </w:t></w:r></w:p><w:p><w:pPr><w:jc w:val="start"/></w:pPr><w:r><w:rPr><w:sz w:val="24"/><w:szCs w:val="24"/><w:spacing w:val="0"/></w:rPr><w:t xml:space="preserve"> </w:t></w:r></w:p><w:tbl><w:tblGrid><w:gridCol w:w="3550" w:type="dxa"/><w:gridCol w:w="150" w:type="dxa"/><w:gridCol w:w="4600" w:type="dxa"/><w:gridCol w:w="4600" w:type="dxa"/><w:gridCol w:w="4600" w:type="dxa"/><w:gridCol w:w="100" w:type="dxa"/><w:gridCol w:w="4600" w:type="dxa"/><w:gridCol w:w="4600" w:type="dxa"/><w:gridCol w:w="4600" w:type="dxa"/><w:gridCol w:w="100" w:type="dxa"/><w:gridCol w:w="4600" w:type="dxa"/><w:gridCol w:w="4600" w:type="dxa"/><w:gridCol w:w="4600" w:type="dxa"/><w:gridCol w:w="100" w:type="dxa"/><w:gridCol w:w="4600" w:type="dxa"/><w:gridCol w:w="4600" w:type="dxa"/><w:gridCol w:w="4600" w:type="dxa"/></w:tblGrid><w:tblPr><w:tblW w:w="4600" w:type="pct"/><w:tblCellSpacing w:w="0" w:type="dxa"/><w:tblLayout w:type="autofit"/></w:tblPr><w:tr><w:trPr/><w:tc><w:tcPr><w:tcW w:w="3550" w:type="pct"/><w:noWrap/></w:tcPr><w:p><w:pPr/></w:p></w:tc><w:tc><w:tcPr><w:tcW w:w="15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Nine Months Ended</w:t></w:r><w:br/><w:r><w:rPr><w:rFonts w:ascii="Times New Roman" w:hAnsi="Times New Roman" w:eastAsia="Times New Roman" w:cs="Times New Roman"/><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spacing w:val="0"/></w:rPr><w:t xml:space="preserve"> </w:t></w:r></w:p></w:tc></w:tr><w:tr><w:trPr/><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spacing w:val="0"/></w:rPr><w:t xml:space="preserve"> </w:t></w:r></w:p></w:tc></w:tr><w:tr><w:trPr/><w:tc><w:tcPr><w:tcW w:w="35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Balance at beginning of period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7,113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3,928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4,988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3,049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550" w:type="pct"/><w:vAlign w:val="top"/><w:noWrap/></w:tcPr><w:p><w:pPr/><w:r><w:rPr><w:rFonts w:ascii="&quot;Times New Roman&quot;" w:hAnsi="&quot;Times New Roman&quot;" w:eastAsia="&quot;Times New Roman&quot;" w:cs="&quot;Times New Roman&quot;"/><w:sz w:val="20"/><w:szCs w:val="20"/><w:spacing w:val="0"/></w:rPr><w:t xml:space="preserve">Additions</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704</w:t></w:r></w:p></w:tc><w:tc><w:tcPr><w:tcW w:w="460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1,589</w:t></w:r></w:p></w:tc><w:tc><w:tcPr><w:tcW w:w="460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2,862</w:t></w:r></w:p></w:tc><w:tc><w:tcPr><w:tcW w:w="460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2,559</w:t></w:r></w:p></w:tc><w:tc><w:tcPr><w:tcW w:w="4600" w:type="pct"/><w:vAlign w:val="bottom"/><w:noWrap/></w:tcPr><w:p><w:pPr/><w:r><w:rPr><w:rFonts w:ascii="Times New Roman" w:hAnsi="Times New Roman" w:eastAsia="Times New Roman" w:cs="Times New Roman"/><w:sz w:val="20"/><w:szCs w:val="20"/></w:rPr><w:t xml:space="preserve"> </w:t></w:r></w:p></w:tc></w:tr><w:tr><w:trPr/><w:tc><w:tcPr><w:tcW w:w="35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Write-offs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(475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(392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(508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(483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5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3550" w:type="pct"/><w:vAlign w:val="top"/><w:noWrap/></w:tcPr><w:p><w:pPr/><w:r><w:rPr><w:rFonts w:ascii="&quot;Times New Roman&quot;" w:hAnsi="&quot;Times New Roman&quot;" w:eastAsia="&quot;Times New Roman&quot;" w:cs="&quot;Times New Roman&quot;"/><w:sz w:val="20"/><w:szCs w:val="20"/><w:spacing w:val="0"/></w:rPr><w:t xml:space="preserve">Balance at end of period</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7,342</w:t></w:r></w:p></w:tc><w:tc><w:tcPr><w:tcW w:w="460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5,125</w:t></w:r></w:p></w:tc><w:tc><w:tcPr><w:tcW w:w="460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7,342</w:t></w:r></w:p></w:tc><w:tc><w:tcPr><w:tcW w:w="460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5,125</w:t></w:r></w:p></w:tc><w:tc><w:tcPr><w:tcW w:w="4600" w:type="pct"/><w:vAlign w:val="bottom"/><w:noWrap/></w:tcPr><w:p><w:pPr/><w:r><w:rPr><w:rFonts w:ascii="Times New Roman" w:hAnsi="Times New Roman" w:eastAsia="Times New Roman" w:cs="Times New Roman"/><w:sz w:val="20"/><w:szCs w:val="20"/></w:rPr><w:t xml:space="preserve"> </w:t></w:r></w:p></w:tc></w:tr><w:tr><w:trPr/><w:tc><w:tcPr><w:tcW w:w="35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b w:val="1"/><w:bCs w:val="1"/><w:spacing w:val="0"/></w:rPr><w:t xml:space="preserve">7. Inventories </w:t></w:r></w:p><w:p><w:pPr><w:jc w:val="start"/></w:pPr><w:r><w:rPr><w:rFonts w:ascii="&quot;Times New Roman&quot;" w:hAnsi="&quot;Times New Roman&quot;" w:eastAsia="&quot;Times New Roman&quot;" w:cs="&quot;Times New Roman&quot;"/><w:sz w:val="20"/><w:szCs w:val="20"/><w:spacing w:val="0"/></w:rPr><w:t xml:space="preserve">Inventories, net of related reserves for excess and obsolescence, consisted of the following: </w:t></w:r></w:p><w:p><w:pPr><w:jc w:val="start"/></w:pPr><w:r><w:rPr><w:sz w:val="24"/><w:szCs w:val="24"/><w:spacing w:val="0"/></w:rPr><w:t xml:space="preserve"> </w:t></w:r></w:p><w:tbl><w:tblGrid><w:gridCol w:w="3600" w:type="dxa"/><w:gridCol w:w="400" w:type="dxa"/><w:gridCol w:w="3800" w:type="dxa"/><w:gridCol w:w="3800" w:type="dxa"/><w:gridCol w:w="3800" w:type="dxa"/><w:gridCol w:w="400" w:type="dxa"/><w:gridCol w:w="3800" w:type="dxa"/><w:gridCol w:w="3800" w:type="dxa"/><w:gridCol w:w="3800" w:type="dxa"/></w:tblGrid><w:tblPr><w:tblW w:w="3800" w:type="pct"/><w:tblCellSpacing w:w="0" w:type="dxa"/><w:tblLayout w:type="autofit"/></w:tblPr><w:tr><w:trPr/><w:tc><w:tcPr><w:tcW w:w="3600" w:type="pct"/><w:noWrap/></w:tcPr><w:p><w:pPr/></w:p></w:tc><w:tc><w:tcPr><w:tcW w:w="400" w:type="pct"/><w:vAlign w:val="bottom"/><w:noWrap/></w:tcPr><w:p><w:pPr/></w:p></w:tc><w:tc><w:tcPr><w:tcW w:w="3800" w:type="pct"/><w:noWrap/></w:tcPr><w:p><w:pPr/></w:p></w:tc><w:tc><w:tcPr><w:tcW w:w="3800" w:type="pct"/><w:noWrap/></w:tcPr><w:p><w:pPr/></w:p></w:tc><w:tc><w:tcPr><w:tcW w:w="3800" w:type="pct"/><w:noWrap/></w:tcPr><w:p><w:pPr/></w:p></w:tc><w:tc><w:tcPr><w:tcW w:w="4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September 30,</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Raw materials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8,761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10,075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Work in process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2,144</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1,305</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Finished goods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18,590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16,419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noWrap/></w:tcPr><w:p><w:pPr/><w:r><w:rPr><w:rFonts w:ascii="&quot;Times New Roman&quot;" w:hAnsi="&quot;Times New Roman&quot;" w:eastAsia="&quot;Times New Roman&quot;" w:cs="&quot;Times New Roman&quot;"/><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29,495</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27,799</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Raw materials include various components used in the Company’s manufacturing process. The Company’s excess and obsolete inventory review process includes analysis of sales forecasts and historical sales as compared to inventory level, and working with operations to maximize recovery of excess inventory. During the three months ended September 30, 2021 and 2020, the Company charged $3,367 and $315, respectively, for inventory excess and obsolescence to cost of goods sold within the consolidated statements of operations. During the nine months ended September 30, 2021 and 2020, the Company charged $8,045 and $2,024, respectively, for inventory excess and obsolescence to cost of goods sold within the consolidated statements of operations.</w:t></w:r></w:p><w:p><w:pPr><w:jc w:val="start"/></w:pPr><w:r><w:rPr><w:rFonts w:ascii="&quot;Times New Roman&quot;" w:hAnsi="&quot;Times New Roman&quot;" w:eastAsia="&quot;Times New Roman&quot;" w:cs="&quot;Times New Roman&quot;"/><w:sz w:val="20"/><w:szCs w:val="20"/><w:b w:val="1"/><w:bCs w:val="1"/><w:spacing w:val="0"/></w:rPr><w:t xml:space="preserve">8. Prepaid Expenses and Other Current Assets </w:t></w:r></w:p><w:p><w:pPr><w:jc w:val="start"/></w:pPr><w:r><w:rPr><w:rFonts w:ascii="&quot;Times New Roman&quot;" w:hAnsi="&quot;Times New Roman&quot;" w:eastAsia="&quot;Times New Roman&quot;" w:cs="&quot;Times New Roman&quot;"/><w:sz w:val="20"/><w:szCs w:val="20"/><w:spacing w:val="0"/></w:rPr><w:t xml:space="preserve">Prepaid expenses and other current assets consisted of the following: </w:t></w:r></w:p><w:p><w:pPr><w:jc w:val="start"/></w:pPr><w:r><w:rPr><w:sz w:val="24"/><w:szCs w:val="24"/><w:spacing w:val="0"/></w:rPr><w:t xml:space="preserve"> </w:t></w:r></w:p><w:tbl><w:tblGrid><w:gridCol w:w="3600" w:type="dxa"/><w:gridCol w:w="450" w:type="dxa"/><w:gridCol w:w="3800" w:type="dxa"/><w:gridCol w:w="3800" w:type="dxa"/><w:gridCol w:w="3800" w:type="dxa"/><w:gridCol w:w="450" w:type="dxa"/><w:gridCol w:w="3800" w:type="dxa"/><w:gridCol w:w="3800" w:type="dxa"/><w:gridCol w:w="3800" w:type="dxa"/></w:tblGrid><w:tblPr><w:tblW w:w="3800" w:type="pct"/><w:tblCellSpacing w:w="0" w:type="dxa"/><w:tblLayout w:type="autofit"/></w:tblPr><w:tr><w:trPr/><w:tc><w:tcPr><w:tcW w:w="3600" w:type="pct"/><w:noWrap/></w:tcPr><w:p><w:pPr/></w:p></w:tc><w:tc><w:tcPr><w:tcW w:w="450" w:type="pct"/><w:vAlign w:val="bottom"/><w:noWrap/></w:tcPr><w:p><w:pPr/></w:p></w:tc><w:tc><w:tcPr><w:tcW w:w="3800" w:type="pct"/><w:noWrap/></w:tcPr><w:p><w:pPr/></w:p></w:tc><w:tc><w:tcPr><w:tcW w:w="3800" w:type="pct"/><w:noWrap/></w:tcPr><w:p><w:pPr/></w:p></w:tc><w:tc><w:tcPr><w:tcW w:w="3800" w:type="pct"/><w:noWrap/></w:tcPr><w:p><w:pPr/></w:p></w:tc><w:tc><w:tcPr><w:tcW w:w="4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September 30,</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spacing w:val="0"/></w:rPr><w:t xml:space="preserve"> </w:t></w:r></w:p></w:tc></w:tr><w:tr><w:trPr/><w:tc><w:tcPr><w:tcW w:w="3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Subscriptions</w:t></w:r></w:p></w:tc><w:tc><w:tcPr><w:tcW w:w="4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2,091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4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2,013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00" w:type="pct"/><w:vAlign w:val="top"/><w:noWrap/></w:tcPr><w:p><w:pPr/><w:r><w:rPr><w:rFonts w:ascii="&quot;Times New Roman&quot;" w:hAnsi="&quot;Times New Roman&quot;" w:eastAsia="&quot;Times New Roman&quot;" w:cs="&quot;Times New Roman&quot;"/><w:sz w:val="20"/><w:szCs w:val="20"/><w:spacing w:val="0"/></w:rPr><w:t xml:space="preserve">Conferences and marketing expenses</w:t></w:r></w:p></w:tc><w:tc><w:tcPr><w:tcW w:w="4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623</w:t></w:r></w:p></w:tc><w:tc><w:tcPr><w:tcW w:w="3800" w:type="pct"/><w:vAlign w:val="bottom"/><w:noWrap/></w:tcPr><w:p><w:pPr/><w:r><w:rPr><w:rFonts w:ascii="Times New Roman" w:hAnsi="Times New Roman" w:eastAsia="Times New Roman" w:cs="Times New Roman"/><w:sz w:val="20"/><w:szCs w:val="20"/></w:rPr><w:t xml:space="preserve"> </w:t></w:r></w:p></w:tc><w:tc><w:tcPr><w:tcW w:w="4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63</w:t></w:r></w:p></w:tc><w:tc><w:tcPr><w:tcW w:w="3800" w:type="pct"/><w:vAlign w:val="bottom"/><w:noWrap/></w:tcPr><w:p><w:pPr/><w:r><w:rPr><w:rFonts w:ascii="Times New Roman" w:hAnsi="Times New Roman" w:eastAsia="Times New Roman" w:cs="Times New Roman"/><w:sz w:val="20"/><w:szCs w:val="20"/></w:rPr><w:t xml:space="preserve"> </w:t></w:r></w:p></w:tc></w:tr><w:tr><w:trPr/><w:tc><w:tcPr><w:tcW w:w="3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Deposits</w:t></w:r></w:p></w:tc><w:tc><w:tcPr><w:tcW w:w="4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1,185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4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1,438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00" w:type="pct"/><w:vAlign w:val="top"/><w:noWrap/></w:tcPr><w:p><w:pPr/><w:r><w:rPr><w:rFonts w:ascii="&quot;Times New Roman&quot;" w:hAnsi="&quot;Times New Roman&quot;" w:eastAsia="&quot;Times New Roman&quot;" w:cs="&quot;Times New Roman&quot;"/><w:sz w:val="20"/><w:szCs w:val="20"/><w:spacing w:val="0"/></w:rPr><w:t xml:space="preserve">Reimbursement of offering expenses</w:t></w:r></w:p></w:tc><w:tc><w:tcPr><w:tcW w:w="4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4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1,009</w:t></w:r></w:p></w:tc><w:tc><w:tcPr><w:tcW w:w="3800" w:type="pct"/><w:vAlign w:val="bottom"/><w:noWrap/></w:tcPr><w:p><w:pPr/><w:r><w:rPr><w:rFonts w:ascii="Times New Roman" w:hAnsi="Times New Roman" w:eastAsia="Times New Roman" w:cs="Times New Roman"/><w:sz w:val="20"/><w:szCs w:val="20"/></w:rPr><w:t xml:space="preserve"> </w:t></w:r></w:p></w:tc></w:tr><w:tr><w:trPr/><w:tc><w:tcPr><w:tcW w:w="3600" w:type="pct"/><w:vAlign w:val="top"/><w:shd w:val="clear" w:fill="CCEEFF"/><w:noWrap/></w:tcPr><w:p><w:pPr/><w:r><w:rPr><w:rFonts w:ascii="&quot;Times New Roman&quot;" w:hAnsi="&quot;Times New Roman&quot;" w:eastAsia="&quot;Times New Roman&quot;" w:cs="&quot;Times New Roman&quot;"/><w:sz w:val="20"/><w:szCs w:val="20"/><w:shd w:val="clear" w:fill="CCEEFF"/></w:rPr><w:t xml:space="preserve">Insurance</w:t></w:r></w:p></w:tc><w:tc><w:tcPr><w:tcW w:w="45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800" w:type="pct"/><w:vAlign w:val="bottom"/><w:shd w:val="clear" w:fill="CCEEFF"/><w:noWrap/></w:tcPr><w:p><w:pPr><w:jc w:val="end"/></w:pPr><w:r><w:rPr><w:rFonts w:ascii="&quot;Times New Roman&quot;" w:hAnsi="&quot;Times New Roman&quot;" w:eastAsia="&quot;Times New Roman&quot;" w:cs="&quot;Times New Roman&quot;"/><w:sz w:val="20"/><w:szCs w:val="20"/><w:shd w:val="clear" w:fill="CCEEFF"/></w:rPr><w:t xml:space="preserve">997</w:t></w:r></w:p></w:tc><w:tc><w:tcPr><w:tcW w:w="38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5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800" w:type="pct"/><w:vAlign w:val="bottom"/><w:shd w:val="clear" w:fill="CCEEFF"/><w:noWrap/></w:tcPr><w:p><w:pPr><w:jc w:val="end"/></w:pPr><w:r><w:rPr><w:rFonts w:ascii="&quot;Times New Roman&quot;" w:hAnsi="&quot;Times New Roman&quot;" w:eastAsia="&quot;Times New Roman&quot;" w:cs="&quot;Times New Roman&quot;"/><w:sz w:val="20"/><w:szCs w:val="20"/><w:shd w:val="clear" w:fill="CCEEFF"/></w:rPr><w:t xml:space="preserve">240</w:t></w:r></w:p></w:tc><w:tc><w:tcPr><w:tcW w:w="38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3600" w:type="pct"/><w:vAlign w:val="top"/><w:shd w:val="clear" w:fill="rgba(255, 255, 255, 0)"/><w:noWrap/></w:tcPr><w:p><w:pPr/><w:r><w:rPr><w:rFonts w:ascii="&quot;Times New Roman&quot;" w:hAnsi="&quot;Times New Roman&quot;" w:eastAsia="&quot;Times New Roman&quot;" w:cs="&quot;Times New Roman&quot;"/><w:sz w:val="20"/><w:szCs w:val="20"/><w:spacing w:val="0"/><w:shd w:val="clear" w:fill="rgba(255, 255, 255, 0)"/></w:rPr><w:t xml:space="preserve">Other</w:t></w:r></w:p></w:tc><w:tc><w:tcPr><w:tcW w:w="4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38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38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137</w:t></w:r></w:p></w:tc><w:tc><w:tcPr><w:tcW w:w="38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45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38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38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172</w:t></w:r></w:p></w:tc><w:tc><w:tcPr><w:tcW w:w="38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r><w:tr><w:trPr/><w:tc><w:tcPr><w:tcW w:w="36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4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380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4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3800" w:type="pct"/><w:shd w:val="clear" w:fill="CCEEFF"/><w:noWrap/></w:tcPr><w:p><w:pPr/><w:r><w:rPr><w:rFonts w:ascii="&quot;Times New Roman&quot;" w:hAnsi="&quot;Times New Roman&quot;" w:eastAsia="&quot;Times New Roman&quot;" w:cs="&quot;Times New Roman&quot;"/><w:sz w:val="1.5"/><w:szCs w:val="1.5"/><w:shd w:val="clear" w:fill="CCEEFF"/></w:rPr><w:t xml:space="preserve"> </w:t></w:r></w:p></w:tc></w:tr><w:tr><w:trPr/><w:tc><w:tcPr><w:tcW w:w="3600" w:type="pct"/><w:vAlign w:val="top"/><w:shd w:val="clear" w:fill="CCEEFF"/><w:noWrap/></w:tcPr><w:p><w:pPr/><w:r><w:rPr><w:rFonts w:ascii="&quot;Times New Roman&quot;" w:hAnsi="&quot;Times New Roman&quot;" w:eastAsia="&quot;Times New Roman&quot;" w:cs="&quot;Times New Roman&quot;"/><w:sz w:val="20"/><w:szCs w:val="20"/><w:shd w:val="clear" w:fill="CCEEFF"/></w:rPr><w:t xml:space="preserve"> </w:t></w:r></w:p></w:tc><w:tc><w:tcPr><w:tcW w:w="4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5,033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4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4,935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4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38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38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38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45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38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3800" w:type="pct"/><w:vAlign w:val="bottom"/><w:shd w:val="clear" w:fill="rgba(255, 255, 255, 0)"/><w:noWrap/></w:tcPr><w:p><w:pPr/><w:r><w:rPr><w:rFonts w:ascii="&quot;Times New Roman&quot;" w:hAnsi="&quot;Times New Roman&quot;" w:eastAsia="&quot;Times New Roman&quot;" w:cs="&quot;Times New Roman&quot;"/><w:sz w:val="1.5"/><w:szCs w:val="1.5"/><w:spacing w:val="0"/><w:shd w:val="clear" w:fill="rgba(255, 255, 255, 0)"/></w:rPr><w:t xml:space="preserve"> </w:t></w:r></w:p></w:tc><w:tc><w:tcPr><w:tcW w:w="38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r></w:tbl><w:p><w:pPr><w:jc w:val="start"/></w:pPr><w:r><w:rPr><w:rFonts w:ascii="&quot;Times New Roman&quot;" w:hAnsi="&quot;Times New Roman&quot;" w:eastAsia="&quot;Times New Roman&quot;" w:cs="&quot;Times New Roman&quot;"/><w:sz w:val="20"/><w:szCs w:val="20"/><w:spacing w:val="0"/></w:rPr><w:t xml:space="preserve">Deposits are funds held by vendors which are expected to be released within twelve months and therefore they are recorded as current assets.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9. Property and Equipment, Net </w:t></w:r></w:p><w:p><w:pPr><w:jc w:val="start"/></w:pPr><w:r><w:rPr><w:rFonts w:ascii="&quot;Times New Roman&quot;" w:hAnsi="&quot;Times New Roman&quot;" w:eastAsia="&quot;Times New Roman&quot;" w:cs="&quot;Times New Roman&quot;"/><w:sz w:val="20"/><w:szCs w:val="20"/><w:spacing w:val="0"/></w:rPr><w:t xml:space="preserve">Property and equipment consisted of the following: </w:t></w:r></w:p><w:p><w:pPr><w:jc w:val="start"/></w:pPr><w:r><w:rPr><w:sz w:val="24"/><w:szCs w:val="24"/><w:spacing w:val="0"/></w:rPr><w:t xml:space="preserve"> </w:t></w:r></w:p><w:tbl><w:tblGrid><w:gridCol w:w="3650" w:type="dxa"/><w:gridCol w:w="350" w:type="dxa"/><w:gridCol w:w="3800" w:type="dxa"/><w:gridCol w:w="3800" w:type="dxa"/><w:gridCol w:w="3800" w:type="dxa"/><w:gridCol w:w="300" w:type="dxa"/><w:gridCol w:w="3800" w:type="dxa"/><w:gridCol w:w="3800" w:type="dxa"/><w:gridCol w:w="3800" w:type="dxa"/></w:tblGrid><w:tblPr><w:tblW w:w="3800" w:type="pct"/><w:tblCellSpacing w:w="0" w:type="dxa"/><w:tblLayout w:type="autofit"/></w:tblPr><w:tr><w:trPr/><w:tc><w:tcPr><w:tcW w:w="3650" w:type="pct"/><w:noWrap/></w:tcPr><w:p><w:pPr/></w:p></w:tc><w:tc><w:tcPr><w:tcW w:w="350" w:type="pct"/><w:vAlign w:val="bottom"/><w:noWrap/></w:tcPr><w:p><w:pPr/></w:p></w:tc><w:tc><w:tcPr><w:tcW w:w="3800" w:type="pct"/><w:noWrap/></w:tcPr><w:p><w:pPr/></w:p></w:tc><w:tc><w:tcPr><w:tcW w:w="3800" w:type="pct"/><w:noWrap/></w:tcPr><w:p><w:pPr/></w:p></w:tc><w:tc><w:tcPr><w:tcW w:w="3800" w:type="pct"/><w:noWrap/></w:tcPr><w:p><w:pPr/></w:p></w:tc><w:tc><w:tcPr><w:tcW w:w="3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September 30,</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Leasehold improvements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45,050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39,574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Building</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4,943</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Furniture, computers and equipment</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52,696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48,236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noWrap/></w:tcPr><w:p><w:pPr/><w:r><w:rPr><w:rFonts w:ascii="&quot;Times New Roman&quot;" w:hAnsi="&quot;Times New Roman&quot;" w:eastAsia="&quot;Times New Roman&quot;" w:cs="&quot;Times New Roman&quot;"/><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102,689</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87,810</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Accumulated depreciation and amortization</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(73,894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(73,797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Construction in progress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45,979</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41,779</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74,774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55,792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Depreciation expense was $1,937 and $1,135 for the three months ended September 30, 2021 and 2020. Depreciation expense was $4,010 and $3,285 for the nine months ended September 30, 2021 and 2020. As of December 31, 2020, the Company had $21,689 of buildings under finance leases recorded within leasehold improvements and had $18,716 </w:t></w:r></w:p><w:p><w:pPr><w:jc w:val="start"/></w:pPr><w:r><w:rPr><w:rFonts w:ascii="&quot;Times New Roman&quot;" w:hAnsi="&quot;Times New Roman&quot;" w:eastAsia="&quot;Times New Roman&quot;" w:cs="&quot;Times New Roman&quot;"/><w:sz w:val="20"/><w:szCs w:val="20"/><w:spacing w:val="0"/></w:rPr><w:t xml:space="preserve">recorded within accumulated depreciation related to these buildings. In August 2021, the Company purchased one building previously under a finance lease (see Note “17. Leases”) from a related party and removed the lease from leasehold improvements and recorded the asset to buildings. As of September 30, 2021, the Company had</w:t></w:r></w:p><w:p><w:pPr><w:jc w:val="start"/></w:pPr><w:r><w:rPr><w:rFonts w:ascii="&quot;Times New Roman&quot;" w:hAnsi="&quot;Times New Roman&quot;" w:eastAsia="&quot;Times New Roman&quot;" w:cs="&quot;Times New Roman&quot;"/><w:sz w:val="20"/><w:szCs w:val="20"/><w:spacing w:val="0"/></w:rPr><w:t xml:space="preserve"> $17,370 of buildings under finance leases recorded within leasehold improvements and had $15,873 recorded with</w:t></w:r></w:p><w:p><w:pPr><w:jc w:val="start"/></w:pPr><w:r><w:rPr><w:rFonts w:ascii="&quot;Times New Roman&quot;" w:hAnsi="&quot;Times New Roman&quot;" w:eastAsia="&quot;Times New Roman&quot;" w:cs="&quot;Times New Roman&quot;"/><w:sz w:val="20"/><w:szCs w:val="20"/><w:spacing w:val="0"/></w:rPr><w:t xml:space="preserve">i</w:t></w:r></w:p><w:p><w:pPr><w:jc w:val="start"/></w:pPr><w:r><w:rPr><w:rFonts w:ascii="&quot;Times New Roman&quot;" w:hAnsi="&quot;Times New Roman&quot;" w:eastAsia="&quot;Times New Roman&quot;" w:cs="&quot;Times New Roman&quot;"/><w:sz w:val="20"/><w:szCs w:val="20"/><w:spacing w:val="0"/></w:rPr><w:t xml:space="preserve">n accumulated depreciation related to these buildings. Construction in progress primarily represents unfinished construction work on the aforementioned purchased building and, more recently, improvements at the Company’s leased facilities in Canton and Norwood, Massachusetts. </w:t></w:r></w:p><w:p><w:pPr><w:jc w:val="start"/></w:pPr><w:r><w:rPr><w:rFonts w:ascii="&quot;Times New Roman&quot;" w:hAnsi="&quot;Times New Roman&quot;" w:eastAsia="&quot;Times New Roman&quot;" w:cs="&quot;Times New Roman&quot;"/><w:sz w:val="20"/><w:szCs w:val="20"/><w:b w:val="1"/><w:bCs w:val="1"/><w:spacing w:val="0"/></w:rPr><w:t xml:space="preserve">10. Goodwill and Intangible Assets </w:t></w:r></w:p><w:p><w:pPr><w:jc w:val="start"/></w:pPr><w:r><w:rPr><w:rFonts w:ascii="&quot;Times New Roman&quot;" w:hAnsi="&quot;Times New Roman&quot;" w:eastAsia="&quot;Times New Roman&quot;" w:cs="&quot;Times New Roman&quot;"/><w:sz w:val="20"/><w:szCs w:val="20"/><w:spacing w:val="0"/></w:rPr><w:t xml:space="preserve">Goodwill was $28,772 as of September 30, 2021 and December 31, 2020. </w:t></w:r></w:p><w:p><w:pPr><w:jc w:val="start"/></w:pPr><w:r><w:rPr><w:rFonts w:ascii="&quot;Times New Roman&quot;" w:hAnsi="&quot;Times New Roman&quot;" w:eastAsia="&quot;Times New Roman&quot;" w:cs="&quot;Times New Roman&quot;"/><w:sz w:val="20"/><w:szCs w:val="20"/><w:spacing w:val="0"/></w:rPr><w:t xml:space="preserve">Identifiable intangible assets consisted of the following as of September 30, 2021: </w:t></w:r></w:p><w:p><w:pPr><w:jc w:val="start"/></w:pPr><w:r><w:rPr><w:sz w:val="24"/><w:szCs w:val="24"/><w:spacing w:val="0"/></w:rPr><w:t xml:space="preserve"> </w:t></w:r></w:p><w:tbl><w:tblGrid><w:gridCol w:w="3500" w:type="dxa"/><w:gridCol w:w="200" w:type="dxa"/><w:gridCol w:w="4200" w:type="dxa"/><w:gridCol w:w="4200" w:type="dxa"/><w:gridCol w:w="4200" w:type="dxa"/><w:gridCol w:w="200" w:type="dxa"/><w:gridCol w:w="4200" w:type="dxa"/><w:gridCol w:w="4200" w:type="dxa"/><w:gridCol w:w="4200" w:type="dxa"/><w:gridCol w:w="150" w:type="dxa"/><w:gridCol w:w="4200" w:type="dxa"/><w:gridCol w:w="4200" w:type="dxa"/><w:gridCol w:w="4200" w:type="dxa"/></w:tblGrid><w:tblPr><w:tblW w:w="4200" w:type="pct"/><w:tblCellSpacing w:w="0" w:type="dxa"/><w:tblLayout w:type="autofit"/></w:tblPr><w:tr><w:trPr/><w:tc><w:tcPr><w:tcW w:w="3500" w:type="pct"/><w:noWrap/></w:tcPr><w:p><w:pPr/></w:p></w:tc><w:tc><w:tcPr><w:tcW w:w="200" w:type="pct"/><w:vAlign w:val="bottom"/><w:noWrap/></w:tcPr><w:p><w:pPr/></w:p></w:tc><w:tc><w:tcPr><w:tcW w:w="4200" w:type="pct"/><w:noWrap/></w:tcPr><w:p><w:pPr/></w:p></w:tc><w:tc><w:tcPr><w:tcW w:w="4200" w:type="pct"/><w:noWrap/></w:tcPr><w:p><w:pPr/></w:p></w:tc><w:tc><w:tcPr><w:tcW w:w="4200" w:type="pct"/><w:noWrap/></w:tcPr><w:p><w:pPr/></w:p></w:tc><w:tc><w:tcPr><w:tcW w:w="200" w:type="pct"/><w:vAlign w:val="bottom"/><w:noWrap/></w:tcPr><w:p><w:pPr/></w:p></w:tc><w:tc><w:tcPr><w:tcW w:w="4200" w:type="pct"/><w:noWrap/></w:tcPr><w:p><w:pPr/></w:p></w:tc><w:tc><w:tcPr><w:tcW w:w="4200" w:type="pct"/><w:noWrap/></w:tcPr><w:p><w:pPr/></w:p></w:tc><w:tc><w:tcPr><w:tcW w:w="4200" w:type="pct"/><w:noWrap/></w:tcPr><w:p><w:pPr/></w:p></w:tc><w:tc><w:tcPr><w:tcW w:w="150" w:type="pct"/><w:vAlign w:val="bottom"/><w:noWrap/></w:tcPr><w:p><w:pPr/></w:p></w:tc><w:tc><w:tcPr><w:tcW w:w="4200" w:type="pct"/><w:noWrap/></w:tcPr><w:p><w:pPr/></w:p></w:tc><w:tc><w:tcPr><w:tcW w:w="4200" w:type="pct"/><w:noWrap/></w:tcPr><w:p><w:pPr/></w:p></w:tc><w:tc><w:tcPr><w:tcW w:w="4200" w:type="pct"/><w:noWrap/></w:tcPr><w:p><w:pPr/></w:p></w:tc></w:tr><w:tr><w:trPr/><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Original</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Accumulated</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Net Book</w:t></w:r></w:p></w:tc><w:tc><w:tcPr><w:tcW w:w="4200" w:type="pct"/><w:vAlign w:val="bottom"/><w:noWrap/></w:tcPr><w:p><w:pPr/><w:r><w:rPr><w:rFonts w:ascii="Times New Roman" w:hAnsi="Times New Roman" w:eastAsia="Times New Roman" w:cs="Times New Roman"/><w:sz w:val="16"/><w:szCs w:val="16"/><w:spacing w:val="0"/></w:rPr><w:t xml:space="preserve"> </w:t></w:r></w:p></w:tc></w:tr><w:tr><w:trPr/><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Cost</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Amortization</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Value</w:t></w:r></w:p></w:tc><w:tc><w:tcPr><w:tcW w:w="4200" w:type="pct"/><w:vAlign w:val="bottom"/><w:noWrap/></w:tcPr><w:p><w:pPr/><w:r><w:rPr><w:rFonts w:ascii="Times New Roman" w:hAnsi="Times New Roman" w:eastAsia="Times New Roman" w:cs="Times New Roman"/><w:sz w:val="16"/><w:szCs w:val="16"/><w:spacing w:val="0"/></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Developed technology</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32,620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(16,864</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15,756</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Trade names and trademarks</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2,080</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(1,128</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952</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Customer relationships</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10,690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(1,114</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9,576</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Non-compete</w:t></w:r><w:r><w:rPr><w:rFonts w:ascii="&quot;Times New Roman&quot;" w:hAnsi="&quot;Times New Roman&quot;" w:eastAsia="&quot;Times New Roman&quot;" w:cs="&quot;Times New Roman&quot;"/><w:sz w:val="20"/><w:szCs w:val="20"/></w:rPr><w:t xml:space="preserve"> agreements</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1,010</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(398</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612</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46,400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(19,504</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26,896</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Identifiable intangible assets consisted of the following as of December 31, 2020: </w:t></w:r></w:p><w:p><w:pPr><w:jc w:val="start"/></w:pPr><w:r><w:rPr><w:sz w:val="24"/><w:szCs w:val="24"/><w:spacing w:val="0"/></w:rPr><w:t xml:space="preserve"> </w:t></w:r></w:p><w:tbl><w:tblGrid><w:gridCol w:w="3500" w:type="dxa"/><w:gridCol w:w="200" w:type="dxa"/><w:gridCol w:w="4200" w:type="dxa"/><w:gridCol w:w="4200" w:type="dxa"/><w:gridCol w:w="4200" w:type="dxa"/><w:gridCol w:w="200" w:type="dxa"/><w:gridCol w:w="4200" w:type="dxa"/><w:gridCol w:w="4200" w:type="dxa"/><w:gridCol w:w="4200" w:type="dxa"/><w:gridCol w:w="150" w:type="dxa"/><w:gridCol w:w="4200" w:type="dxa"/><w:gridCol w:w="4200" w:type="dxa"/><w:gridCol w:w="4200" w:type="dxa"/></w:tblGrid><w:tblPr><w:tblW w:w="4200" w:type="pct"/><w:tblCellSpacing w:w="0" w:type="dxa"/><w:tblLayout w:type="autofit"/></w:tblPr><w:tr><w:trPr/><w:tc><w:tcPr><w:tcW w:w="3500" w:type="pct"/><w:noWrap/></w:tcPr><w:p><w:pPr/></w:p></w:tc><w:tc><w:tcPr><w:tcW w:w="200" w:type="pct"/><w:vAlign w:val="bottom"/><w:noWrap/></w:tcPr><w:p><w:pPr/></w:p></w:tc><w:tc><w:tcPr><w:tcW w:w="4200" w:type="pct"/><w:noWrap/></w:tcPr><w:p><w:pPr/></w:p></w:tc><w:tc><w:tcPr><w:tcW w:w="4200" w:type="pct"/><w:noWrap/></w:tcPr><w:p><w:pPr/></w:p></w:tc><w:tc><w:tcPr><w:tcW w:w="4200" w:type="pct"/><w:noWrap/></w:tcPr><w:p><w:pPr/></w:p></w:tc><w:tc><w:tcPr><w:tcW w:w="200" w:type="pct"/><w:vAlign w:val="bottom"/><w:noWrap/></w:tcPr><w:p><w:pPr/></w:p></w:tc><w:tc><w:tcPr><w:tcW w:w="4200" w:type="pct"/><w:noWrap/></w:tcPr><w:p><w:pPr/></w:p></w:tc><w:tc><w:tcPr><w:tcW w:w="4200" w:type="pct"/><w:noWrap/></w:tcPr><w:p><w:pPr/></w:p></w:tc><w:tc><w:tcPr><w:tcW w:w="4200" w:type="pct"/><w:noWrap/></w:tcPr><w:p><w:pPr/></w:p></w:tc><w:tc><w:tcPr><w:tcW w:w="150" w:type="pct"/><w:vAlign w:val="bottom"/><w:noWrap/></w:tcPr><w:p><w:pPr/></w:p></w:tc><w:tc><w:tcPr><w:tcW w:w="4200" w:type="pct"/><w:noWrap/></w:tcPr><w:p><w:pPr/></w:p></w:tc><w:tc><w:tcPr><w:tcW w:w="4200" w:type="pct"/><w:noWrap/></w:tcPr><w:p><w:pPr/></w:p></w:tc><w:tc><w:tcPr><w:tcW w:w="4200" w:type="pct"/><w:noWrap/></w:tcPr><w:p><w:pPr/></w:p></w:tc></w:tr><w:tr><w:trPr/><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Original</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Accumulated</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Net Book</w:t></w:r></w:p></w:tc><w:tc><w:tcPr><w:tcW w:w="4200" w:type="pct"/><w:vAlign w:val="bottom"/><w:noWrap/></w:tcPr><w:p><w:pPr/><w:r><w:rPr><w:rFonts w:ascii="Times New Roman" w:hAnsi="Times New Roman" w:eastAsia="Times New Roman" w:cs="Times New Roman"/><w:sz w:val="16"/><w:szCs w:val="16"/><w:spacing w:val="0"/></w:rPr><w:t xml:space="preserve"> </w:t></w:r></w:p></w:tc></w:tr><w:tr><w:trPr/><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Cost</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Amortization</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Value</w:t></w:r></w:p></w:tc><w:tc><w:tcPr><w:tcW w:w="4200" w:type="pct"/><w:vAlign w:val="bottom"/><w:noWrap/></w:tcPr><w:p><w:pPr/><w:r><w:rPr><w:rFonts w:ascii="Times New Roman" w:hAnsi="Times New Roman" w:eastAsia="Times New Roman" w:cs="Times New Roman"/><w:sz w:val="16"/><w:szCs w:val="16"/><w:spacing w:val="0"/></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Developed technology</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32,620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(14,330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18,290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Trade names and trademarks</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2,080</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(906</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1,174</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Customer relationship</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10,690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(312</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10,378</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Non-compete</w:t></w:r><w:r><w:rPr><w:rFonts w:ascii="&quot;Times New Roman&quot;" w:hAnsi="&quot;Times New Roman&quot;" w:eastAsia="&quot;Times New Roman&quot;" w:cs="&quot;Times New Roman&quot;"/><w:sz w:val="20"/><w:szCs w:val="20"/></w:rPr><w:t xml:space="preserve"> agreements</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1,010</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(230</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780</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46,400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(15,778</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30,622</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Amortization of intangible assets, calculated on a straight-line basis or using an accelerated method, was $1,240 and $885 for the three months ended September 30, 2021 and 2020, respectively, and $3,726 and $2,518 for the nine months ended September 30, 2021 and 2020, respectively.</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14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11. Accrued Expenses and Other Current Liabilities </w:t></w:r></w:p><w:p><w:pPr><w:jc w:val="start"/></w:pPr><w:r><w:rPr><w:rFonts w:ascii="&quot;Times New Roman&quot;" w:hAnsi="&quot;Times New Roman&quot;" w:eastAsia="&quot;Times New Roman&quot;" w:cs="&quot;Times New Roman&quot;"/><w:sz w:val="20"/><w:szCs w:val="20"/><w:spacing w:val="0"/></w:rPr><w:t xml:space="preserve">Accrued expenses and other current liabilities consisted of the following: </w:t></w:r></w:p><w:tbl><w:tblGrid><w:gridCol w:w="3600" w:type="dxa"/><w:gridCol w:w="400" w:type="dxa"/><w:gridCol w:w="3800" w:type="dxa"/><w:gridCol w:w="3800" w:type="dxa"/><w:gridCol w:w="3800" w:type="dxa"/><w:gridCol w:w="400" w:type="dxa"/><w:gridCol w:w="3800" w:type="dxa"/><w:gridCol w:w="3800" w:type="dxa"/><w:gridCol w:w="3800" w:type="dxa"/></w:tblGrid><w:tblPr><w:tblW w:w="3800" w:type="pct"/><w:tblCellSpacing w:w="0" w:type="dxa"/><w:tblLayout w:type="autofit"/></w:tblPr><w:tr><w:trPr/><w:tc><w:tcPr><w:tcW w:w="3600" w:type="pct"/><w:noWrap/></w:tcPr><w:p><w:pPr/></w:p></w:tc><w:tc><w:tcPr><w:tcW w:w="400" w:type="pct"/><w:vAlign w:val="bottom"/><w:noWrap/></w:tcPr><w:p><w:pPr/></w:p></w:tc><w:tc><w:tcPr><w:tcW w:w="3800" w:type="pct"/><w:noWrap/></w:tcPr><w:p><w:pPr/></w:p></w:tc><w:tc><w:tcPr><w:tcW w:w="3800" w:type="pct"/><w:noWrap/></w:tcPr><w:p><w:pPr/></w:p></w:tc><w:tc><w:tcPr><w:tcW w:w="3800" w:type="pct"/><w:noWrap/></w:tcPr><w:p><w:pPr/></w:p></w:tc><w:tc><w:tcPr><w:tcW w:w="4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September 30,</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Personnel costs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25,482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18,943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Royalties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3,338</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2,971</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Accrued but unpaid lease obligations and interest</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6,390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Other</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1,918</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2,059</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37,128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23,973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Times New Roman" w:hAnsi="Times New Roman" w:eastAsia="Times New Roman" w:cs="Times New Roman"/><w:sz w:val="20"/><w:szCs w:val="20"/><w:spacing w:val="0"/></w:rPr><w:t xml:space="preserve">The accrued but unpaid lease obligations and the interest accrual on these obligations were previously included in the long-term portion of the finance lease obligations, and other liabilities as of December 31, 2020. The reclassification was due to the purchase of a building previously recorded as a finance lease from a related party (see Note “17. Leases”) and the termination of the 2019 Credit Agreement (see Note “13. Long-Term Debt Obligations”).</w:t></w:r></w:p><w:p><w:pPr><w:jc w:val="start"/></w:pPr><w:r><w:rPr><w:rFonts w:ascii="Times New Roman" w:hAnsi="Times New Roman" w:eastAsia="Times New Roman" w:cs="Times New Roman"/><w:sz w:val="20"/><w:szCs w:val="20"/><w:b w:val="1"/><w:bCs w:val="1"/><w:spacing w:val="0"/></w:rPr><w:t xml:space="preserve"> </w:t></w:r></w:p><w:p><w:pPr><w:jc w:val="start"/></w:pPr><w:r><w:rPr><w:b w:val="1"/><w:bCs w:val="1"/><w:spacing w:val="0"/></w:rPr><w:t xml:space="preserve"> </w:t></w:r></w:p><w:p><w:pPr><w:jc w:val="start"/></w:pPr><w:r><w:rPr><w:rFonts w:ascii="&quot;Times New Roman&quot;" w:hAnsi="&quot;Times New Roman&quot;" w:eastAsia="&quot;Times New Roman&quot;" w:cs="&quot;Times New Roman&quot;"/><w:sz w:val="20"/><w:szCs w:val="20"/><w:b w:val="1"/><w:bCs w:val="1"/><w:spacing w:val="0"/></w:rPr><w:t xml:space="preserve">12. Restructuring </w:t></w:r></w:p><w:p><w:pPr><w:jc w:val="start"/></w:pPr><w:r><w:rPr><w:rFonts w:ascii="&quot;Times New Roman&quot;" w:hAnsi="&quot;Times New Roman&quot;" w:eastAsia="&quot;Times New Roman&quot;" w:cs="&quot;Times New Roman&quot;"/><w:sz w:val="20"/><w:szCs w:val="20"/><w:spacing w:val="0"/></w:rPr><w:t xml:space="preserve">On October 21, 2020, the Company committed to a plan to restructure the workforce and consolidate its La Jolla facilities as part of the Company’s long-term plan to consolidate manufacturing operations in Massachusetts to reduce the Company’s cost structure. The majority of the restructuring costs are expected to be incurred by the end of 2021, with certain facility and storage costs continuing through the middle of 2024. The restructuring will result in a charge of approximately $6.5 million, of which approximately $4.0 million is attributable to the retention benefits associated with approximately 65 employees and the remaining $2.5 million is related to the facility closures. As employees are required to provide future services, employee retention and other benefit-related costs related to the Company’s restructuring are expensed over the service period. </w:t></w:r></w:p><w:p><w:pPr><w:jc w:val="start"/></w:pPr><w:r><w:rPr><w:rFonts w:ascii="Times New Roman" w:hAnsi="Times New Roman" w:eastAsia="Times New Roman" w:cs="Times New Roman"/><w:sz w:val="20"/><w:szCs w:val="20"/></w:rPr><w:t xml:space="preserve">As a result of this restructuring activity, the Company incurred </w:t></w:r></w:p><w:p><w:pPr><w:jc w:val="start"/></w:pPr><w:r><w:rPr><w:rFonts w:ascii="Times New Roman" w:hAnsi="Times New Roman" w:eastAsia="Times New Roman" w:cs="Times New Roman"/><w:sz w:val="20"/><w:szCs w:val="20"/><w:spacing w:val="0"/></w:rPr><w:t xml:space="preserve">a pr</w:t></w:r></w:p><w:p><w:pPr><w:jc w:val="start"/></w:pPr><w:r><w:rPr><w:rFonts w:ascii="Times New Roman" w:hAnsi="Times New Roman" w:eastAsia="Times New Roman" w:cs="Times New Roman"/><w:sz w:val="20"/><w:szCs w:val="20"/><w:spacing w:val="0"/></w:rPr><w:t xml:space="preserve">e</w:t></w:r></w:p><w:p><w:pPr><w:jc w:val="start"/></w:pPr><w:r><w:rPr><w:rFonts w:ascii="Times New Roman" w:hAnsi="Times New Roman" w:eastAsia="Times New Roman" w:cs="Times New Roman"/><w:sz w:val="20"/><w:szCs w:val="20"/><w:spacing w:val="0"/></w:rPr><w:t xml:space="preserve">-tax charge</w:t></w:r></w:p><w:p><w:pPr><w:jc w:val="start"/></w:pPr><w:r><w:rPr><w:rFonts w:ascii="Times New Roman" w:hAnsi="Times New Roman" w:eastAsia="Times New Roman" w:cs="Times New Roman"/><w:sz w:val="20"/><w:szCs w:val="20"/></w:rPr><w:t xml:space="preserve"> of $1,010 and $2,876 during the three and nine months ended September 30, 2021. This charge was primarily related to employee retention benefits and was included in selling, g</w:t></w:r></w:p><w:p><w:pPr><w:jc w:val="start"/></w:pPr><w:r><w:rPr><w:rFonts w:ascii="Times New Roman" w:hAnsi="Times New Roman" w:eastAsia="Times New Roman" w:cs="Times New Roman"/><w:sz w:val="20"/><w:szCs w:val="20"/><w:spacing w:val="0"/></w:rPr><w:t xml:space="preserve">e</w:t></w:r></w:p><w:p><w:pPr><w:jc w:val="start"/></w:pPr><w:r><w:rPr><w:rFonts w:ascii="Times New Roman" w:hAnsi="Times New Roman" w:eastAsia="Times New Roman" w:cs="Times New Roman"/><w:sz w:val="20"/><w:szCs w:val="20"/></w:rPr><w:t xml:space="preserve">neral and administrative expenses in the consolidated statements of operations. The liability related to the restructuring activities was $3,234 as of September 30, 2021 and was included in accrued expenses and other current liabilities in the consolidated balance sheets. The following table provides a roll-forward of the restructuring liability. </w:t></w:r></w:p><w:tbl><w:tblGrid><w:gridCol w:w="4100" w:type="dxa"/><w:gridCol w:w="300" w:type="dxa"/><w:gridCol w:w="3800" w:type="dxa"/><w:gridCol w:w="3800" w:type="dxa"/><w:gridCol w:w="3800" w:type="dxa"/><w:gridCol w:w="250" w:type="dxa"/><w:gridCol w:w="3800" w:type="dxa"/><w:gridCol w:w="3800" w:type="dxa"/><w:gridCol w:w="3800" w:type="dxa"/></w:tblGrid><w:tblPr><w:tblW w:w="3800" w:type="pct"/><w:tblCellSpacing w:w="0" w:type="dxa"/><w:tblLayout w:type="autofit"/></w:tblPr><w:tr><w:trPr/><w:tc><w:tcPr><w:tcW w:w="4100" w:type="pct"/><w:noWrap/></w:tcPr><w:p><w:pPr/></w:p></w:tc><w:tc><w:tcPr><w:tcW w:w="300" w:type="pct"/><w:vAlign w:val="bottom"/><w:noWrap/></w:tcPr><w:p><w:pPr/></w:p></w:tc><w:tc><w:tcPr><w:tcW w:w="3800" w:type="pct"/><w:noWrap/></w:tcPr><w:p><w:pPr/></w:p></w:tc><w:tc><w:tcPr><w:tcW w:w="3800" w:type="pct"/><w:noWrap/></w:tcPr><w:p><w:pPr/></w:p></w:tc><w:tc><w:tcPr><w:tcW w:w="3800" w:type="pct"/><w:noWrap/></w:tcPr><w:p><w:pPr/></w:p></w:tc><w:tc><w:tcPr><w:tcW w:w="2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gridSpan w:val="2"/><w:noWrap/></w:tcPr><w:p><w:pPr><w:jc w:val="center"/></w:pPr><w:r><w:rPr><w:rFonts w:ascii="&quot;Times New Roman&quot;" w:hAnsi="&quot;Times New Roman&quot;" w:eastAsia="&quot;Times New Roman&quot;" w:cs="&quot;Times New Roman&quot;"/><w:sz w:val="20"/><w:szCs w:val="20"/><w:b w:val="1"/><w:bCs w:val="1"/></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gridSpan w:val="2"/><w:noWrap/></w:tcPr><w:p><w:pPr><w:jc w:val="center"/></w:pPr><w:r><w:rPr><w:rFonts w:ascii="&quot;Times New Roman&quot;" w:hAnsi="&quot;Times New Roman&quot;" w:eastAsia="&quot;Times New Roman&quot;" w:cs="&quot;Times New Roman&quot;"/><w:sz w:val="20"/><w:szCs w:val="20"/><w:b w:val="1"/><w:bCs w:val="1"/></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Employee</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Facility</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Liability balance as of June 30, 2021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2,381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Expenses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854</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156</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Payments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(160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Liability balance as of September 30, 2021</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3,209</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25</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sz w:val="24"/><w:szCs w:val="24"/><w:spacing w:val="0"/></w:rPr><w:t xml:space="preserve"> </w:t></w:r></w:p><w:tbl><w:tblGrid><w:gridCol w:w="4100" w:type="dxa"/><w:gridCol w:w="250" w:type="dxa"/><w:gridCol w:w="3800" w:type="dxa"/><w:gridCol w:w="3800" w:type="dxa"/><w:gridCol w:w="3800" w:type="dxa"/><w:gridCol w:w="200" w:type="dxa"/><w:gridCol w:w="3800" w:type="dxa"/><w:gridCol w:w="3800" w:type="dxa"/><w:gridCol w:w="3800" w:type="dxa"/></w:tblGrid><w:tblPr><w:tblW w:w="3800" w:type="pct"/><w:tblCellSpacing w:w="0" w:type="dxa"/><w:tblLayout w:type="autofit"/></w:tblPr><w:tr><w:trPr/><w:tc><w:tcPr><w:tcW w:w="4100" w:type="pct"/><w:noWrap/></w:tcPr><w:p><w:pPr/></w:p></w:tc><w:tc><w:tcPr><w:tcW w:w="250" w:type="pct"/><w:vAlign w:val="bottom"/><w:noWrap/></w:tcPr><w:p><w:pPr/></w:p></w:tc><w:tc><w:tcPr><w:tcW w:w="3800" w:type="pct"/><w:noWrap/></w:tcPr><w:p><w:pPr/></w:p></w:tc><w:tc><w:tcPr><w:tcW w:w="3800" w:type="pct"/><w:noWrap/></w:tcPr><w:p><w:pPr/></w:p></w:tc><w:tc><w:tcPr><w:tcW w:w="3800" w:type="pct"/><w:noWrap/></w:tcPr><w:p><w:pPr/></w:p></w:tc><w:tc><w:tcPr><w:tcW w:w="2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Employee</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Facility</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Liability balance as of December 31, 2020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618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Expenses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2,617</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259</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Payments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(234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Liability balance as of September 30, 2021</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3,209</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25</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b w:val="1"/><w:bCs w:val="1"/><w:spacing w:val="0"/></w:rPr><w:t xml:space="preserve">13. Long-Term Debt Obligations </w:t></w:r></w:p><w:p><w:pPr><w:jc w:val="start"/></w:pPr><w:r><w:rPr><w:rFonts w:ascii="&quot;Times New Roman&quot;" w:hAnsi="&quot;Times New Roman&quot;" w:eastAsia="&quot;Times New Roman&quot;" w:cs="&quot;Times New Roman&quot;"/><w:sz w:val="20"/><w:szCs w:val="20"/><w:spacing w:val="0"/></w:rPr><w:t xml:space="preserve">Long-term debt obligations consisted of the following: </w:t></w:r></w:p><w:p><w:pPr><w:jc w:val="start"/></w:pPr><w:r><w:rPr><w:sz w:val="24"/><w:szCs w:val="24"/><w:spacing w:val="0"/></w:rPr><w:t xml:space="preserve"> </w:t></w:r></w:p><w:tbl><w:tblGrid><w:gridCol w:w="3650" w:type="dxa"/><w:gridCol w:w="350" w:type="dxa"/><w:gridCol w:w="3800" w:type="dxa"/><w:gridCol w:w="3800" w:type="dxa"/><w:gridCol w:w="3800" w:type="dxa"/><w:gridCol w:w="300" w:type="dxa"/><w:gridCol w:w="3800" w:type="dxa"/><w:gridCol w:w="3800" w:type="dxa"/><w:gridCol w:w="3800" w:type="dxa"/></w:tblGrid><w:tblPr><w:tblW w:w="3800" w:type="pct"/><w:tblCellSpacing w:w="0" w:type="dxa"/><w:tblLayout w:type="autofit"/></w:tblPr><w:tr><w:trPr/><w:tc><w:tcPr><w:tcW w:w="3650" w:type="pct"/><w:noWrap/></w:tcPr><w:p><w:pPr/></w:p></w:tc><w:tc><w:tcPr><w:tcW w:w="350" w:type="pct"/><w:vAlign w:val="bottom"/><w:noWrap/></w:tcPr><w:p><w:pPr/></w:p></w:tc><w:tc><w:tcPr><w:tcW w:w="3800" w:type="pct"/><w:noWrap/></w:tcPr><w:p><w:pPr/></w:p></w:tc><w:tc><w:tcPr><w:tcW w:w="3800" w:type="pct"/><w:noWrap/></w:tcPr><w:p><w:pPr/></w:p></w:tc><w:tc><w:tcPr><w:tcW w:w="3800" w:type="pct"/><w:noWrap/></w:tcPr><w:p><w:pPr/></w:p></w:tc><w:tc><w:tcPr><w:tcW w:w="3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September 30,</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Line of credit</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pacing w:val="0"/><w:shd w:val="clear" w:fill="CCEEFF"/></w:rPr><w:t xml:space="preserve">10,000</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spacing w:val="0"/></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Term loan</w:t></w:r></w:p></w:tc><w:tc><w:tcPr><w:tcW w:w="3800" w:type="pct"/><w:vAlign w:val="bottom"/><w:noWrap/></w:tcPr><w:p><w:pPr/><w:r><w:rPr><w:rFonts w:ascii="Times New Roman" w:hAnsi="Times New Roman" w:eastAsia="Times New Roman" w:cs="Times New Roman"/><w:sz w:val="20"/><w:szCs w:val="20"/><w:spacing w:val="0"/></w:rPr><w:t xml:space="preserve">  </w:t></w:r></w:p></w:tc><w:tc><w:tcPr><w:tcW w:w="3800" w:type="pct"/><w:vAlign w:val="bottom"/><w:noWrap/></w:tcPr><w:p><w:pPr/><w:r><w:rPr><w:rFonts w:ascii="Times New Roman" w:hAnsi="Times New Roman" w:eastAsia="Times New Roman" w:cs="Times New Roman"/><w:sz w:val="20"/><w:szCs w:val="20"/><w:spacing w:val="0"/></w:rPr><w:t xml:space="preserve"> </w:t></w:r></w:p></w:tc><w:tc><w:tcPr><w:tcW w:w="3800" w:type="pct"/><w:vAlign w:val="bottom"/><w:noWrap/></w:tcPr><w:p><w:pPr><w:jc w:val="end"/></w:pPr><w:r><w:rPr><w:rFonts w:ascii="Times New Roman" w:hAnsi="Times New Roman" w:eastAsia="Times New Roman" w:cs="Times New Roman"/><w:sz w:val="20"/><w:szCs w:val="20"/><w:spacing w:val="0"/></w:rPr><w:t xml:space="preserve">74,531</w:t></w:r></w:p></w:tc><w:tc><w:tcPr><w:tcW w:w="3800" w:type="pct"/><w:vAlign w:val="bottom"/><w:noWrap/></w:tcPr><w:p><w:pPr/><w:r><w:rPr><w:rFonts w:ascii="Times New Roman" w:hAnsi="Times New Roman" w:eastAsia="Times New Roman" w:cs="Times New Roman"/><w:sz w:val="20"/><w:szCs w:val="20"/><w:spacing w:val="0"/></w:rPr><w:t xml:space="preserve"> </w:t></w:r></w:p></w:tc><w:tc><w:tcPr><w:tcW w:w="3800" w:type="pct"/><w:vAlign w:val="bottom"/><w:noWrap/></w:tcPr><w:p><w:pPr/><w:r><w:rPr><w:rFonts w:ascii="Times New Roman" w:hAnsi="Times New Roman" w:eastAsia="Times New Roman" w:cs="Times New Roman"/><w:sz w:val="20"/><w:szCs w:val="20"/><w:spacing w:val="0"/></w:rPr><w:t xml:space="preserve">  </w:t></w:r></w:p></w:tc><w:tc><w:tcPr><w:tcW w:w="3800" w:type="pct"/><w:vAlign w:val="bottom"/><w:noWrap/></w:tcPr><w:p><w:pPr/><w:r><w:rPr><w:rFonts w:ascii="Times New Roman" w:hAnsi="Times New Roman" w:eastAsia="Times New Roman" w:cs="Times New Roman"/><w:sz w:val="20"/><w:szCs w:val="20"/><w:spacing w:val="0"/></w:rPr><w:t xml:space="preserve"> </w:t></w:r></w:p></w:tc><w:tc><w:tcPr><w:tcW w:w="3800" w:type="pct"/><w:vAlign w:val="bottom"/><w:noWrap/></w:tcPr><w:p><w:pPr><w:jc w:val="end"/></w:pPr><w:r><w:rPr><w:rFonts w:ascii="Times New Roman" w:hAnsi="Times New Roman" w:eastAsia="Times New Roman" w:cs="Times New Roman"/><w:sz w:val="20"/><w:szCs w:val="20"/><w:spacing w:val="0"/></w:rPr><w:t xml:space="preserve">60,000</w:t></w:r></w:p></w:tc><w:tc><w:tcPr><w:tcW w:w="3800" w:type="pct"/><w:vAlign w:val="bottom"/><w:noWrap/></w:tcPr><w:p><w:pPr/><w:r><w:rPr><w:rFonts w:ascii="Times New Roman" w:hAnsi="Times New Roman" w:eastAsia="Times New Roman" w:cs="Times New Roman"/><w:sz w:val="20"/><w:szCs w:val="20"/><w:spacing w:val="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Less debt discount and debt issuance cost</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pacing w:val="0"/><w:shd w:val="clear" w:fill="CCEEFF"/></w:rPr><w:t xml:space="preserve">(678</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pacing w:val="0"/><w:shd w:val="clear" w:fill="CCEEFF"/></w:rPr><w:t xml:space="preserve">(290</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spacing w:val="0"/></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Term loan, net of debt discount and debt issuance cost</w:t></w:r></w:p></w:tc><w:tc><w:tcPr><w:tcW w:w="3800" w:type="pct"/><w:vAlign w:val="bottom"/><w:noWrap/></w:tcPr><w:p><w:pPr/><w:r><w:rPr><w:rFonts w:ascii="Times New Roman" w:hAnsi="Times New Roman" w:eastAsia="Times New Roman" w:cs="Times New Roman"/><w:sz w:val="20"/><w:szCs w:val="20"/><w:spacing w:val="0"/></w:rPr><w:t xml:space="preserve">  </w:t></w:r></w:p></w:tc><w:tc><w:tcPr><w:tcW w:w="3800" w:type="pct"/><w:vAlign w:val="bottom"/><w:noWrap/></w:tcPr><w:p><w:pPr/><w:r><w:rPr><w:rFonts w:ascii="Times New Roman" w:hAnsi="Times New Roman" w:eastAsia="Times New Roman" w:cs="Times New Roman"/><w:sz w:val="20"/><w:szCs w:val="20"/><w:spacing w:val="0"/></w:rPr><w:t xml:space="preserve">$</w:t></w:r></w:p></w:tc><w:tc><w:tcPr><w:tcW w:w="3800" w:type="pct"/><w:vAlign w:val="bottom"/><w:noWrap/></w:tcPr><w:p><w:pPr><w:jc w:val="end"/></w:pPr><w:r><w:rPr><w:rFonts w:ascii="Times New Roman" w:hAnsi="Times New Roman" w:eastAsia="Times New Roman" w:cs="Times New Roman"/><w:sz w:val="20"/><w:szCs w:val="20"/><w:spacing w:val="0"/></w:rPr><w:t xml:space="preserve">73,853</w:t></w:r></w:p></w:tc><w:tc><w:tcPr><w:tcW w:w="3800" w:type="pct"/><w:vAlign w:val="bottom"/><w:noWrap/></w:tcPr><w:p><w:pPr/><w:r><w:rPr><w:rFonts w:ascii="Times New Roman" w:hAnsi="Times New Roman" w:eastAsia="Times New Roman" w:cs="Times New Roman"/><w:sz w:val="20"/><w:szCs w:val="20"/><w:spacing w:val="0"/></w:rPr><w:t xml:space="preserve"> </w:t></w:r></w:p></w:tc><w:tc><w:tcPr><w:tcW w:w="3800" w:type="pct"/><w:vAlign w:val="bottom"/><w:noWrap/></w:tcPr><w:p><w:pPr/><w:r><w:rPr><w:rFonts w:ascii="Times New Roman" w:hAnsi="Times New Roman" w:eastAsia="Times New Roman" w:cs="Times New Roman"/><w:sz w:val="20"/><w:szCs w:val="20"/><w:spacing w:val="0"/></w:rPr><w:t xml:space="preserve">  </w:t></w:r></w:p></w:tc><w:tc><w:tcPr><w:tcW w:w="3800" w:type="pct"/><w:vAlign w:val="bottom"/><w:noWrap/></w:tcPr><w:p><w:pPr/><w:r><w:rPr><w:rFonts w:ascii="Times New Roman" w:hAnsi="Times New Roman" w:eastAsia="Times New Roman" w:cs="Times New Roman"/><w:sz w:val="20"/><w:szCs w:val="20"/><w:spacing w:val="0"/></w:rPr><w:t xml:space="preserve">$</w:t></w:r></w:p></w:tc><w:tc><w:tcPr><w:tcW w:w="3800" w:type="pct"/><w:vAlign w:val="bottom"/><w:noWrap/></w:tcPr><w:p><w:pPr><w:jc w:val="end"/></w:pPr><w:r><w:rPr><w:rFonts w:ascii="Times New Roman" w:hAnsi="Times New Roman" w:eastAsia="Times New Roman" w:cs="Times New Roman"/><w:sz w:val="20"/><w:szCs w:val="20"/><w:spacing w:val="0"/></w:rPr><w:t xml:space="preserve">59,710</w:t></w:r></w:p></w:tc><w:tc><w:tcPr><w:tcW w:w="3800" w:type="pct"/><w:vAlign w:val="bottom"/><w:noWrap/></w:tcPr><w:p><w:pPr/><w:r><w:rPr><w:rFonts w:ascii="Times New Roman" w:hAnsi="Times New Roman" w:eastAsia="Times New Roman" w:cs="Times New Roman"/><w:sz w:val="20"/><w:szCs w:val="20"/><w:spacing w:val="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15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2021 Credit Agreement </w:t></w:r></w:p><w:p><w:pPr><w:jc w:val="start"/></w:pPr><w:r><w:rPr><w:rFonts w:ascii="&quot;Times New Roman&quot;" w:hAnsi="&quot;Times New Roman&quot;" w:eastAsia="&quot;Times New Roman&quot;" w:cs="&quot;Times New Roman&quot;"/><w:sz w:val="20"/><w:szCs w:val="20"/><w:spacing w:val="0"/></w:rPr><w:t xml:space="preserve">In August 2021, the Company, as borrower, its subsidiaries, as guarantors, and Silicon Valley Bank (“SVB”), and the several other lenders thereto (collectively, the “Lenders”) entered into a credit agreement (the “2021 Credit Agreement”), providing for a term loan facility not to exceed $75,000 (the “Term Loan Facility”) and a revolving credit facility not to exceed $125,000 (the “Revolving Facility”). The Company’s obligations to the Lenders are secured by substantially all of Company’s assets, including intellectual property. Capitalized terms used h</w:t></w:r></w:p><w:p><w:pPr><w:jc w:val="start"/></w:pPr><w:r><w:rPr><w:rFonts w:ascii="&quot;Times New Roman&quot;" w:hAnsi="&quot;Times New Roman&quot;" w:eastAsia="&quot;Times New Roman&quot;" w:cs="&quot;Times New Roman&quot;"/><w:sz w:val="20"/><w:szCs w:val="20"/><w:spacing w:val="0"/></w:rPr><w:t xml:space="preserve">e</w:t></w:r></w:p><w:p><w:pPr><w:jc w:val="start"/></w:pPr><w:r><w:rPr><w:rFonts w:ascii="&quot;Times New Roman&quot;" w:hAnsi="&quot;Times New Roman&quot;" w:eastAsia="&quot;Times New Roman&quot;" w:cs="&quot;Times New Roman&quot;"/><w:sz w:val="20"/><w:szCs w:val="20"/><w:spacing w:val="0"/></w:rPr><w:t xml:space="preserve">rein and not otherwise defined are defined as set forth in the 2021 Credit Agreement. </w:t></w:r></w:p><w:p><w:pPr><w:jc w:val="start"/></w:pPr><w:r><w:rPr><w:rFonts w:ascii="Times New Roman" w:hAnsi="Times New Roman" w:eastAsia="Times New Roman" w:cs="Times New Roman"/><w:sz w:val="20"/><w:szCs w:val="20"/><w:spacing w:val="0"/></w:rPr><w:t xml:space="preserve">Advances made under the 2021 Credit Agreement may be either Eurodollar Lo</w:t></w:r></w:p><w:p><w:pPr><w:jc w:val="start"/></w:pPr><w:r><w:rPr><w:rFonts w:ascii="Times New Roman" w:hAnsi="Times New Roman" w:eastAsia="Times New Roman" w:cs="Times New Roman"/><w:sz w:val="20"/><w:szCs w:val="20"/><w:spacing w:val="0"/></w:rPr><w:t xml:space="preserve">a</w:t></w:r></w:p><w:p><w:pPr><w:jc w:val="start"/></w:pPr><w:r><w:rPr><w:rFonts w:ascii="Times New Roman" w:hAnsi="Times New Roman" w:eastAsia="Times New Roman" w:cs="Times New Roman"/><w:sz w:val="20"/><w:szCs w:val="20"/><w:spacing w:val="0"/></w:rPr><w:t xml:space="preserve">ns or ABR Loans, at the Company’s option. For Eurodollar Loans, the interest rate is a per annum interest rate equal to LIBOR plus an Applicable Margin as follows: (i) if the Total Net Leverage Ratio is greater than or equal to 3.25x, 3.25%; (ii) if the Total Net Leverage Ratio is greater than or equal to 2.50x but less than 3.25x, 2.75% ; (iii) if the Total Net Leverage Ratio is greater than or equal to 2.00x but less than 2.50x, 2.50%; (iv) if the Total Net Leverage Ratio is greater than or equal to 1.50x but less than 2.00x, 2.25% and (v) if the Total Net Leverage Ratio is less than 1.50x, 2.00%. For ABR Loans, the interest rate is equal to (1) the highest of (a) the Wall Street Journal Prime Rate, (b) the Federal Funds Rate plus 0.50% and (c) the LIBOR rate plus 1.0%,</w:t></w:r></w:p><w:p><w:pPr><w:jc w:val="start"/></w:pPr><w:r><w:rPr><w:rFonts w:ascii="Times New Roman" w:hAnsi="Times New Roman" w:eastAsia="Times New Roman" w:cs="Times New Roman"/><w:sz w:val="20"/><w:szCs w:val="20"/><w:i w:val="1"/><w:iCs w:val="1"/><w:spacing w:val="0"/></w:rPr><w:t xml:space="preserve"> plus</w:t></w:r></w:p><w:p><w:pPr><w:jc w:val="start"/></w:pPr><w:r><w:rPr><w:rFonts w:ascii="Times New Roman" w:hAnsi="Times New Roman" w:eastAsia="Times New Roman" w:cs="Times New Roman"/><w:sz w:val="20"/><w:szCs w:val="20"/><w:spacing w:val="0"/></w:rPr><w:t xml:space="preserve"> (2) an Applicable Margin as follows: (i) if the Total Net Leverage Ratio is greater than or equal to 3.25x, 2.25%; (ii) if the Total Net Leverage Ratio is greater than or equal to 2.50x but less than 3.25x, 1.75% ; (iii) if the Total Net Leverage Ratio is greater than or equal to 2.00x but less than 2.50x, 1.50%; (iv) if the Total Net Leverage Ratio is greater than or equal to 1.50x but less than 2.00x, 1.25%; and (v) if the Total Net Leverage Ratio is less than 1.50x, 1.00%. The interest rate as of September 30, 2021 was 2.08%. </w:t></w:r></w:p><w:p><w:pPr><w:jc w:val="start"/></w:pPr><w:r><w:rPr><w:rFonts w:ascii="Times New Roman" w:hAnsi="Times New Roman" w:eastAsia="Times New Roman" w:cs="Times New Roman"/><w:sz w:val="20"/><w:szCs w:val="20"/><w:spacing w:val="0"/></w:rPr><w:t xml:space="preserve">The 2021 Credit Agreement requires the Company to make consecutive quarterly installment payments equal to the following percentages of the original principal amount of the Term Loans: (a) from September 30, 2021 through and including June 30, 2022,</w:t></w:r></w:p><w:p><w:pPr><w:jc w:val="start"/></w:pPr><w:r><w:rPr><w:rFonts w:ascii="Times New Roman" w:hAnsi="Times New Roman" w:eastAsia="Times New Roman" w:cs="Times New Roman"/><w:sz w:val="20"/><w:szCs w:val="20"/></w:rPr><w:t xml:space="preserve"> 0.625</w:t></w:r></w:p><w:p><w:pPr><w:jc w:val="start"/></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spacing w:val="0"/></w:rPr><w:t xml:space="preserve">(or $469) ; (b) from</w:t></w:r></w:p><w:p><w:pPr><w:jc w:val="start"/></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spacing w:val="0"/></w:rPr><w:t xml:space="preserve">September 30, 2022 through and including June 30, 2023,</w:t></w:r></w:p><w:p><w:pPr><w:jc w:val="start"/></w:pPr><w:r><w:rPr><w:rFonts w:ascii="Times New Roman" w:hAnsi="Times New Roman" w:eastAsia="Times New Roman" w:cs="Times New Roman"/><w:sz w:val="20"/><w:szCs w:val="20"/></w:rPr><w:t xml:space="preserve"> 1.250%</w:t></w:r></w:p><w:p><w:pPr><w:jc w:val="start"/></w:pPr><w:r><w:rPr><w:rFonts w:ascii="Times New Roman" w:hAnsi="Times New Roman" w:eastAsia="Times New Roman" w:cs="Times New Roman"/><w:sz w:val="20"/><w:szCs w:val="20"/><w:spacing w:val="0"/></w:rPr><w:t xml:space="preserve"> (or $938); (c) from September 30, 2023 through and including June 30, 2025,</w:t></w:r></w:p><w:p><w:pPr><w:jc w:val="start"/></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rPr><w:t xml:space="preserve">1.875% </w:t></w:r></w:p><w:p><w:pPr><w:jc w:val="start"/></w:pPr><w:r><w:rPr><w:rFonts w:ascii="Times New Roman" w:hAnsi="Times New Roman" w:eastAsia="Times New Roman" w:cs="Times New Roman"/><w:sz w:val="20"/><w:szCs w:val="20"/><w:spacing w:val="0"/></w:rPr><w:t xml:space="preserve">(or</w:t></w:r></w:p><w:p><w:pPr><w:jc w:val="start"/></w:pPr><w:r><w:rPr><w:rFonts w:ascii="Times New Roman" w:hAnsi="Times New Roman" w:eastAsia="Times New Roman" w:cs="Times New Roman"/><w:sz w:val="20"/><w:szCs w:val="20"/><w:spacing w:val="0"/></w:rPr><w:t xml:space="preserve"> $1,406) and (d) from September 30, 2025 and the last day of each quarter thereafter until August 6, 2026 (the “Term Loan Maturity Date”),</w:t></w:r></w:p><w:p><w:pPr><w:jc w:val="start"/></w:pPr><w:r><w:rPr><w:rFonts w:ascii="Times New Roman" w:hAnsi="Times New Roman" w:eastAsia="Times New Roman" w:cs="Times New Roman"/><w:sz w:val="20"/><w:szCs w:val="20"/></w:rPr><w:t xml:space="preserve"> 2.50% </w:t></w:r></w:p><w:p><w:pPr><w:jc w:val="start"/></w:pPr><w:r><w:rPr><w:rFonts w:ascii="Times New Roman" w:hAnsi="Times New Roman" w:eastAsia="Times New Roman" w:cs="Times New Roman"/><w:sz w:val="20"/><w:szCs w:val="20"/><w:spacing w:val="0"/></w:rPr><w:t xml:space="preserve">(or</w:t></w:r></w:p><w:p><w:pPr><w:jc w:val="start"/></w:pPr><w:r><w:rPr><w:rFonts w:ascii="Times New Roman" w:hAnsi="Times New Roman" w:eastAsia="Times New Roman" w:cs="Times New Roman"/><w:sz w:val="20"/><w:szCs w:val="20"/><w:spacing w:val="0"/></w:rPr><w:t xml:space="preserve"> $1,875). The Company may prepay the Term Loan Facility, provided that any Term Loans prepaid prior to August 6, 2022 must be accompanied by</w:t></w:r></w:p><w:p><w:pPr><w:jc w:val="start"/></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spacing w:val="0"/></w:rPr><w:t xml:space="preserve">a prepayment premium equal to</w:t></w:r></w:p><w:p><w:pPr><w:jc w:val="start"/></w:pPr><w:r><w:rPr><w:rFonts w:ascii="Times New Roman" w:hAnsi="Times New Roman" w:eastAsia="Times New Roman" w:cs="Times New Roman"/><w:sz w:val="20"/><w:szCs w:val="20"/></w:rPr><w:t xml:space="preserve"> 1.00% </w:t></w:r></w:p><w:p><w:pPr><w:jc w:val="start"/></w:pPr><w:r><w:rPr><w:rFonts w:ascii="Times New Roman" w:hAnsi="Times New Roman" w:eastAsia="Times New Roman" w:cs="Times New Roman"/><w:sz w:val="20"/><w:szCs w:val="20"/><w:spacing w:val="0"/></w:rPr><w:t xml:space="preserve">of the aggregate amount of Term Loans prepaid. Once repaid, amounts borrowed under the Term Loan Facility </w:t></w:r></w:p><w:p/><w:p><w:pPr><w:jc w:val="start"/></w:pPr><w:r><w:rPr><w:rFonts w:ascii="Times New Roman" w:hAnsi="Times New Roman" w:eastAsia="Times New Roman" w:cs="Times New Roman"/><w:sz w:val="20"/><w:szCs w:val="20"/><w:spacing w:val="0"/></w:rPr><w:t xml:space="preserve"> may not be re-borrowed.</w:t></w:r></w:p><w:p><w:pPr><w:jc w:val="start"/></w:pPr><w:r><w:rPr><w:rFonts w:ascii="Times New Roman" w:hAnsi="Times New Roman" w:eastAsia="Times New Roman" w:cs="Times New Roman"/><w:sz w:val="20"/><w:szCs w:val="20"/></w:rPr><w:t xml:space="preserve">The Company must pay in arrears, on the first day of each quarter prior to August 6, 2026 (the “Revolving Termination Date”) and on the Revolving Termination Date, a fee for the </w:t></w:r></w:p><w:p><w:pPr><w:jc w:val="start"/></w:pPr><w:r><w:rPr><w:rFonts w:ascii="Times New Roman" w:hAnsi="Times New Roman" w:eastAsia="Times New Roman" w:cs="Times New Roman"/><w:sz w:val="20"/><w:szCs w:val="20"/><w:spacing w:val="0"/></w:rPr><w:t xml:space="preserve">Company’s non-use of</w:t></w:r></w:p><w:p><w:pPr><w:jc w:val="start"/></w:pPr><w:r><w:rPr><w:rFonts w:ascii="Times New Roman" w:hAnsi="Times New Roman" w:eastAsia="Times New Roman" w:cs="Times New Roman"/><w:sz w:val="20"/><w:szCs w:val="20"/></w:rPr><w:t xml:space="preserve"> available funds in an amount equal to the Commitment Fee Rate per annum, multiplied by the difference between (x) the Total Revolving Commitments and (y) the sum of (A) the average for the period of the daily closing balance of the Revolving Loans, excluding the aggregate principal amount of Swingline Loans,</w:t></w:r></w:p><w:p><w:pPr><w:jc w:val="start"/></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spacing w:val="0"/></w:rPr><w:t xml:space="preserve">(B) the aggregate undrawn amount of all Letters of Credit outstanding at such time and (c) the aggregate amount of all L/C Disbursements that have not yet been reimbursed or converted into Revolving Loans or Swingline Loans. The Commitment Fee Rate is equal to (i) if the Total Net Leverage Ratio is greater than or equal to 3.25x, </w:t></w:r></w:p><w:p><w:pPr><w:jc w:val="start"/></w:pPr><w:r><w:rPr><w:rFonts w:ascii="Times New Roman" w:hAnsi="Times New Roman" w:eastAsia="Times New Roman" w:cs="Times New Roman"/><w:sz w:val="20"/><w:szCs w:val="20"/></w:rPr><w:t xml:space="preserve">0.45%</w:t></w:r></w:p><w:p><w:pPr><w:jc w:val="start"/></w:pPr><w:r><w:rPr><w:rFonts w:ascii="Times New Roman" w:hAnsi="Times New Roman" w:eastAsia="Times New Roman" w:cs="Times New Roman"/><w:sz w:val="20"/><w:szCs w:val="20"/><w:spacing w:val="0"/></w:rPr><w:t xml:space="preserve">; (ii) if the Total Net Leverage Ratio is greater than or equal to 2.50x but less than 3.25x,</w:t></w:r></w:p><w:p><w:pPr><w:jc w:val="start"/></w:pPr><w:r><w:rPr><w:rFonts w:ascii="Times New Roman" w:hAnsi="Times New Roman" w:eastAsia="Times New Roman" w:cs="Times New Roman"/><w:sz w:val="20"/><w:szCs w:val="20"/></w:rPr><w:t xml:space="preserve"> 0.40%</w:t></w:r></w:p><w:p><w:pPr><w:jc w:val="start"/></w:pPr><w:r><w:rPr><w:rFonts w:ascii="Times New Roman" w:hAnsi="Times New Roman" w:eastAsia="Times New Roman" w:cs="Times New Roman"/><w:sz w:val="20"/><w:szCs w:val="20"/><w:spacing w:val="0"/></w:rPr><w:t xml:space="preserve"> ; (iii) if the Total Net Leverage Ratio is greater than or equal to 2.00x but less than 2.50x, </w:t></w:r></w:p><w:p><w:pPr><w:jc w:val="start"/></w:pPr><w:r><w:rPr><w:rFonts w:ascii="Times New Roman" w:hAnsi="Times New Roman" w:eastAsia="Times New Roman" w:cs="Times New Roman"/><w:sz w:val="20"/><w:szCs w:val="20"/></w:rPr><w:t xml:space="preserve">0.35%</w:t></w:r></w:p><w:p><w:pPr><w:jc w:val="start"/></w:pPr><w:r><w:rPr><w:rFonts w:ascii="Times New Roman" w:hAnsi="Times New Roman" w:eastAsia="Times New Roman" w:cs="Times New Roman"/><w:sz w:val="20"/><w:szCs w:val="20"/><w:spacing w:val="0"/></w:rPr><w:t xml:space="preserve">; (iv) if the Total Net Leverage Ratio is greater than or equal to 1.50x but less than 2.00x, </w:t></w:r></w:p><w:p><w:pPr><w:jc w:val="start"/></w:pPr><w:r><w:rPr><w:rFonts w:ascii="Times New Roman" w:hAnsi="Times New Roman" w:eastAsia="Times New Roman" w:cs="Times New Roman"/><w:sz w:val="20"/><w:szCs w:val="20"/></w:rPr><w:t xml:space="preserve">0.30%</w:t></w:r></w:p><w:p><w:pPr><w:jc w:val="start"/></w:pPr><w:r><w:rPr><w:rFonts w:ascii="Times New Roman" w:hAnsi="Times New Roman" w:eastAsia="Times New Roman" w:cs="Times New Roman"/><w:sz w:val="20"/><w:szCs w:val="20"/><w:spacing w:val="0"/></w:rPr><w:t xml:space="preserve">; and (v) if the Total Net Leverage Ratio is </w:t></w:r></w:p><w:p><w:pPr><w:jc w:val="start"/></w:pPr><w:r><w:rPr><w:rFonts w:ascii="Times New Roman" w:hAnsi="Times New Roman" w:eastAsia="Times New Roman" w:cs="Times New Roman"/><w:sz w:val="20"/><w:szCs w:val="20"/><w:spacing w:val="0"/></w:rPr><w:t xml:space="preserve">less</w:t></w:r></w:p><w:p><w:pPr><w:jc w:val="start"/></w:pPr><w:r><w:rPr><w:rFonts w:ascii="Times New Roman" w:hAnsi="Times New Roman" w:eastAsia="Times New Roman" w:cs="Times New Roman"/><w:sz w:val="20"/><w:szCs w:val="20"/><w:spacing w:val="0"/></w:rPr><w:t xml:space="preserve"> than 1.50x, </w:t></w:r></w:p><w:p><w:pPr><w:jc w:val="start"/></w:pPr><w:r><w:rPr><w:rFonts w:ascii="Times New Roman" w:hAnsi="Times New Roman" w:eastAsia="Times New Roman" w:cs="Times New Roman"/><w:sz w:val="20"/><w:szCs w:val="20"/></w:rPr><w:t xml:space="preserve">0.25%</w:t></w:r></w:p><w:p><w:pPr><w:jc w:val="start"/></w:pPr><w:r><w:rPr><w:rFonts w:ascii="Times New Roman" w:hAnsi="Times New Roman" w:eastAsia="Times New Roman" w:cs="Times New Roman"/><w:sz w:val="20"/><w:szCs w:val="20"/><w:spacing w:val="0"/></w:rPr><w:t xml:space="preserve">. The maturity date for advances made under the Revolving Facility is the Revolving Termination Date. The Company may elect to reduce or terminate the Revolving Facility in its entirety at any time by repaying all outstanding principal, unpaid accrued interest and, with respect to any such reduction or termination of the Revolving Commitments made prior to August 6, 2022, </w:t></w:r></w:p><w:p><w:pPr><w:jc w:val="start"/></w:pPr><w:r><w:rPr><w:rFonts w:ascii="Times New Roman" w:hAnsi="Times New Roman" w:eastAsia="Times New Roman" w:cs="Times New Roman"/><w:sz w:val="20"/><w:szCs w:val="20"/></w:rPr><w:t xml:space="preserve">1.00%</w:t></w:r></w:p><w:p><w:pPr><w:jc w:val="start"/></w:pPr><w:r><w:rPr><w:rFonts w:ascii="Times New Roman" w:hAnsi="Times New Roman" w:eastAsia="Times New Roman" w:cs="Times New Roman"/><w:sz w:val="20"/><w:szCs w:val="20"/><w:spacing w:val="0"/></w:rPr><w:t xml:space="preserve"> of the aggregate amount of the Revolving Commitments so reduced or terminated. </w:t></w:r></w:p><w:p><w:pPr><w:jc w:val="start"/></w:pPr><w:r><w:rPr><w:rFonts w:ascii="&quot;Times New Roman&quot;" w:hAnsi="&quot;Times New Roman&quot;" w:eastAsia="&quot;Times New Roman&quot;" w:cs="&quot;Times New Roman&quot;"/><w:sz w:val="20"/><w:szCs w:val="20"/><w:spacing w:val="0"/></w:rPr><w:t xml:space="preserve">Under the 2021 Credit Agreement, the Company is required to comply with certain financial covenants. The Company may not permit the Consolidated Fixed Charge Coverage Ratio at the last day of any period of four consecutive fiscal quarters, commencing with the fiscal quarter ending September 30, 2021, to be less than 1.25:1.00. Additionally, the Company may not permit the Consolidated Total Net Leverage Ratio at the last day of any period of four consecutive fiscal quarters, commencing with the fiscal quarter ending September 30, 2021, to exceed the following ratios: (i) for the trailing four fiscal quarters ending September 30, 2021, December 31, 2021, March 31, 2022, June 30, 2022 and September 30, 2022, a ratio of 3.50:1.00; (ii) for the trailing four fiscal quarters ending December 31, 2022, March 31, 2023, June 30, 2023 and September 30, 2023, a ratio of 3.25:1.00; and (iii) for the trailing four fiscal quarters ending December 31, 2023 and each fiscal quarter thereafter, a ratio of 3.00:1.00.</w:t></w:r></w:p><w:p><w:pPr><w:jc w:val="center"/></w:pPr><w:r><w:rPr><w:rFonts w:ascii="&quot;Times New Roman&quot;" w:hAnsi="&quot;Times New Roman&quot;" w:eastAsia="&quot;Times New Roman&quot;" w:cs="&quot;Times New Roman&quot;"/><w:sz w:val="20"/><w:szCs w:val="20"/><w:spacing w:val="0"/></w:rPr><w:t xml:space="preserve">16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As of September 30, 2021, the Company had outstanding borrowings of $74,531 under the Term Loan Facility and $0 under the Revolving Facility with $125,000 </w:t></w:r></w:p><w:p><w:pPr><w:jc w:val="start"/></w:pPr><w:r><w:rPr><w:rFonts w:ascii="&quot;Times New Roman&quot;" w:hAnsi="&quot;Times New Roman&quot;" w:eastAsia="&quot;Times New Roman&quot;" w:cs="&quot;Times New Roman&quot;"/><w:sz w:val="20"/><w:szCs w:val="20"/><w:spacing w:val="0"/></w:rPr><w:t xml:space="preserve">available for future revolving borrowings. The Company recorded additional debt issuance costs and related fees of</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$604 in connection with the Term Loan Facility, which are recorded as a reduction of the carrying value of the term loan on the Company’s consolidated balance sheets. In connection with the Revolving Facility, the Company recorded debt issuance costs and related fees of $1,223, which are recorded as other assets. Both of these costs are being amortized to interest expenses through the maturity date of the facilities. </w:t></w:r></w:p><w:p><w:pPr><w:jc w:val="start"/></w:pPr><w:r><w:rPr><w:rFonts w:ascii="&quot;Times New Roman&quot;" w:hAnsi="&quot;Times New Roman&quot;" w:eastAsia="&quot;Times New Roman&quot;" w:cs="&quot;Times New Roman&quot;"/><w:sz w:val="20"/><w:szCs w:val="20"/><w:spacing w:val="0"/></w:rPr><w:t xml:space="preserve">Future payments of the 2021 Credit Agreement, as of September 30, 2021, are as follows for the calendar years ending December 31: </w:t></w:r></w:p><w:p><w:pPr><w:jc w:val="start"/></w:pPr><w:r><w:rPr><w:sz w:val="24"/><w:szCs w:val="24"/><w:spacing w:val="0"/></w:rPr><w:t xml:space="preserve"> </w:t></w:r></w:p><w:tbl><w:tblGrid><w:gridCol w:w="4400" w:type="dxa"/><w:gridCol w:w="250" w:type="dxa"/><w:gridCol w:w="3400" w:type="dxa"/><w:gridCol w:w="3400" w:type="dxa"/><w:gridCol w:w="3400" w:type="dxa"/></w:tblGrid><w:tblPr><w:tblW w:w="3400" w:type="pct"/><w:tblCellSpacing w:w="0" w:type="dxa"/><w:tblLayout w:type="autofit"/></w:tblPr><w:tr><w:trPr/><w:tc><w:tcPr><w:tcW w:w="4400" w:type="pct"/><w:noWrap/></w:tcPr><w:p><w:pPr/></w:p></w:tc><w:tc><w:tcPr><w:tcW w:w="250" w:type="pct"/><w:vAlign w:val="bottom"/><w:noWrap/></w:tcPr><w:p><w:pPr/></w:p></w:tc><w:tc><w:tcPr><w:tcW w:w="3400" w:type="pct"/><w:noWrap/></w:tcPr><w:p><w:pPr/></w:p></w:tc><w:tc><w:tcPr><w:tcW w:w="3400" w:type="pct"/><w:noWrap/></w:tcPr><w:p><w:pPr/></w:p></w:tc><w:tc><w:tcPr><w:tcW w:w="3400" w:type="pct"/><w:noWrap/></w:tcPr><w:p><w:pP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2021</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469</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2022</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2,812</w:t></w:r></w:p></w:tc><w:tc><w:tcPr><w:tcW w:w="3400" w:type="pct"/><w:vAlign w:val="bottom"/><w:noWrap/></w:tcPr><w:p><w:pPr/><w:r><w:rPr><w:rFonts w:ascii="Times New Roman" w:hAnsi="Times New Roman" w:eastAsia="Times New Roman" w:cs="Times New Roman"/><w:sz w:val="20"/><w:szCs w:val="2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2023</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4,687</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2024</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5,625</w:t></w:r></w:p></w:tc><w:tc><w:tcPr><w:tcW w:w="3400" w:type="pct"/><w:vAlign w:val="bottom"/><w:noWrap/></w:tcPr><w:p><w:pPr/><w:r><w:rPr><w:rFonts w:ascii="Times New Roman" w:hAnsi="Times New Roman" w:eastAsia="Times New Roman" w:cs="Times New Roman"/><w:sz w:val="20"/><w:szCs w:val="2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2025 and beyond</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60,938</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vAlign w:val="bottom"/><w:noWrap/></w:tcPr><w:p><w:pPr/><w:r><w:rPr><w:rFonts w:ascii="&quot;Times New Roman&quot;" w:hAnsi="&quot;Times New Roman&quot;" w:eastAsia="&quot;Times New Roman&quot;" w:cs="&quot;Times New Roman&quot;"/><w:sz w:val="1.5"/><w:szCs w:val="1.5"/></w:rPr><w:t xml:space="preserve"> </w:t></w:r></w:p></w:tc><w:tc><w:tcPr><w:tcW w:w="3400" w:type="pct"/><w:vAlign w:val="bottom"/><w:noWrap/></w:tcPr><w:p><w:pPr/><w:r><w:rPr><w:rFonts w:ascii="&quot;Times New Roman&quot;" w:hAnsi="&quot;Times New Roman&quot;" w:eastAsia="&quot;Times New Roman&quot;" w:cs="&quot;Times New Roman&quot;"/><w:sz w:val="1.5"/><w:szCs w:val="1.5"/></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noWrap/></w:tcPr><w:p><w:pPr/><w:r><w:rPr><w:rFonts w:ascii="&quot;Times New Roman&quot;" w:hAnsi="&quot;Times New Roman&quot;" w:eastAsia="&quot;Times New Roman&quot;" w:cs="&quot;Times New Roman&quot;"/><w:sz w:val="1.5"/><w:szCs w:val="1.5"/></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Total</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w:t></w:r></w:p></w:tc><w:tc><w:tcPr><w:tcW w:w="3400" w:type="pct"/><w:vAlign w:val="bottom"/><w:noWrap/></w:tcPr><w:p><w:pPr><w:jc w:val="end"/></w:pPr><w:r><w:rPr><w:rFonts w:ascii="Times New Roman" w:hAnsi="Times New Roman" w:eastAsia="Times New Roman" w:cs="Times New Roman"/><w:sz w:val="20"/><w:szCs w:val="20"/></w:rPr><w:t xml:space="preserve">74,531</w:t></w:r></w:p></w:tc><w:tc><w:tcPr><w:tcW w:w="3400" w:type="pct"/><w:vAlign w:val="bottom"/><w:noWrap/></w:tcPr><w:p><w:pPr/><w:r><w:rPr><w:rFonts w:ascii="Times New Roman" w:hAnsi="Times New Roman" w:eastAsia="Times New Roman" w:cs="Times New Roman"/><w:sz w:val="20"/><w:szCs w:val="20"/></w:rPr><w:t xml:space="preserve"> </w:t></w:r></w:p></w:tc></w:tr><w:tr><w:trPr/><w:tc><w:tcPr><w:tcW w:w="3400" w:type="pct"/><w:vAlign w:val="bottom"/><w:noWrap/></w:tcPr><w:p><w:pPr/><w:r><w:rPr><w:rFonts w:ascii="&quot;Times New Roman&quot;" w:hAnsi="&quot;Times New Roman&quot;" w:eastAsia="&quot;Times New Roman&quot;" w:cs="&quot;Times New Roman&quot;"/><w:sz w:val="1.5"/><w:szCs w:val="1.5"/></w:rPr><w:t xml:space="preserve"> </w:t></w:r></w:p></w:tc><w:tc><w:tcPr><w:tcW w:w="3400" w:type="pct"/><w:vAlign w:val="bottom"/><w:noWrap/></w:tcPr><w:p><w:pPr/><w:r><w:rPr><w:rFonts w:ascii="&quot;Times New Roman&quot;" w:hAnsi="&quot;Times New Roman&quot;" w:eastAsia="&quot;Times New Roman&quot;" w:cs="&quot;Times New Roman&quot;"/><w:sz w:val="1.5"/><w:szCs w:val="1.5"/></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b w:val="1"/><w:bCs w:val="1"/><w:i w:val="1"/><w:iCs w:val="1"/><w:spacing w:val="0"/></w:rPr><w:t xml:space="preserve">2019 Credit Agreement </w:t></w:r></w:p><w:p><w:pPr><w:jc w:val="start"/></w:pPr><w:r><w:rPr><w:rFonts w:ascii="&quot;Times New Roman&quot;" w:hAnsi="&quot;Times New Roman&quot;" w:eastAsia="&quot;Times New Roman&quot;" w:cs="&quot;Times New Roman&quot;"/><w:sz w:val="20"/><w:szCs w:val="20"/><w:spacing w:val="0"/></w:rPr><w:t xml:space="preserve">In March 2019</w:t></w:r></w:p><w:p><w:pPr><w:jc w:val="start"/></w:pPr><w:r><w:rPr><w:rFonts w:ascii="Times New Roman" w:hAnsi="Times New Roman" w:eastAsia="Times New Roman" w:cs="Times New Roman"/><w:sz w:val="20"/><w:szCs w:val="20"/><w:spacing w:val="0"/></w:rPr><w:t xml:space="preserve">, the Company, its subsidiaries and SVB, and the several other lenders thereto entered into a credit agreement, as amended (the “2019 Credit Agreement”), providing for a term loan facility of $</w:t></w:r></w:p><w:p><w:pPr><w:jc w:val="start"/></w:pPr><w:r><w:rPr><w:rFonts w:ascii="Times New Roman" w:hAnsi="Times New Roman" w:eastAsia="Times New Roman" w:cs="Times New Roman"/><w:sz w:val="20"/><w:szCs w:val="20"/></w:rPr><w:t xml:space="preserve">40,000</w:t></w:r></w:p><w:p><w:pPr><w:jc w:val="start"/></w:pPr><w:r><w:rPr><w:rFonts w:ascii="Times New Roman" w:hAnsi="Times New Roman" w:eastAsia="Times New Roman" w:cs="Times New Roman"/><w:sz w:val="20"/><w:szCs w:val="20"/><w:spacing w:val="0"/></w:rPr><w:t xml:space="preserve"> and a revolving credit facility of up to $</w:t></w:r></w:p><w:p><w:pPr><w:jc w:val="start"/></w:pPr><w:r><w:rPr><w:rFonts w:ascii="Times New Roman" w:hAnsi="Times New Roman" w:eastAsia="Times New Roman" w:cs="Times New Roman"/><w:sz w:val="20"/><w:szCs w:val="20"/></w:rPr><w:t xml:space="preserve">60,000</w:t></w:r></w:p><w:p><w:pPr><w:jc w:val="start"/></w:pPr><w:r><w:rPr><w:rFonts w:ascii="Times New Roman" w:hAnsi="Times New Roman" w:eastAsia="Times New Roman" w:cs="Times New Roman"/><w:sz w:val="20"/><w:szCs w:val="20"/><w:spacing w:val="0"/></w:rPr><w:t xml:space="preserve">. Both facilities </w:t></w:r></w:p><w:p><w:pPr><w:jc w:val="start"/></w:pPr><w:r><w:rPr><w:rFonts w:ascii="Times New Roman" w:hAnsi="Times New Roman" w:eastAsia="Times New Roman" w:cs="Times New Roman"/><w:sz w:val="20"/><w:szCs w:val="20"/><w:spacing w:val="0"/></w:rPr><w:t xml:space="preserve">w</w:t></w:r></w:p><w:p><w:pPr><w:jc w:val="start"/></w:pPr><w:r><w:rPr><w:rFonts w:ascii="Times New Roman" w:hAnsi="Times New Roman" w:eastAsia="Times New Roman" w:cs="Times New Roman"/><w:sz w:val="20"/><w:szCs w:val="20"/><w:spacing w:val="0"/></w:rPr><w:t xml:space="preserve">ere</w:t></w:r></w:p><w:p><w:pPr><w:jc w:val="start"/></w:pPr><w:r><w:rPr><w:rFonts w:ascii="Times New Roman" w:hAnsi="Times New Roman" w:eastAsia="Times New Roman" w:cs="Times New Roman"/><w:sz w:val="20"/><w:szCs w:val="20"/><w:spacing w:val="0"/></w:rPr><w:t xml:space="preserve"> set to </w:t></w:r></w:p><w:p><w:pPr><w:jc w:val="start"/></w:pPr><w:r><w:rPr><w:rFonts w:ascii="Times New Roman" w:hAnsi="Times New Roman" w:eastAsia="Times New Roman" w:cs="Times New Roman"/><w:sz w:val="20"/><w:szCs w:val="20"/><w:spacing w:val="0"/></w:rPr><w:t xml:space="preserve">mature in </w:t></w:r></w:p><w:p><w:pPr><w:jc w:val="start"/></w:pPr><w:r><w:rPr><w:rFonts w:ascii="Times New Roman" w:hAnsi="Times New Roman" w:eastAsia="Times New Roman" w:cs="Times New Roman"/><w:sz w:val="20"/><w:szCs w:val="20"/></w:rPr><w:t xml:space="preserve">2024</w:t></w:r></w:p><w:p><w:pPr><w:jc w:val="start"/></w:pPr><w:r><w:rPr><w:rFonts w:ascii="Times New Roman" w:hAnsi="Times New Roman" w:eastAsia="Times New Roman" w:cs="Times New Roman"/><w:sz w:val="20"/><w:szCs w:val="20"/><w:spacing w:val="0"/></w:rPr><w:t xml:space="preserve">. The interest rate for the term loan facility </w:t></w:r></w:p><w:p><w:pPr><w:jc w:val="start"/></w:pPr><w:r><w:rPr><w:rFonts w:ascii="Times New Roman" w:hAnsi="Times New Roman" w:eastAsia="Times New Roman" w:cs="Times New Roman"/><w:sz w:val="20"/><w:szCs w:val="20"/><w:spacing w:val="0"/></w:rPr><w:t xml:space="preserve">was</w:t></w:r></w:p><w:p><w:pPr><w:jc w:val="start"/></w:pPr><w:r><w:rPr><w:rFonts w:ascii="Times New Roman" w:hAnsi="Times New Roman" w:eastAsia="Times New Roman" w:cs="Times New Roman"/><w:sz w:val="20"/><w:szCs w:val="20"/><w:spacing w:val="0"/></w:rPr><w:t xml:space="preserve"> a floating per </w:t></w:r></w:p><w:p><w:pPr><w:jc w:val="start"/></w:pPr><w:r><w:rPr><w:rFonts w:ascii="Times New Roman" w:hAnsi="Times New Roman" w:eastAsia="Times New Roman" w:cs="Times New Roman"/><w:sz w:val="20"/><w:szCs w:val="20"/></w:rPr><w:t xml:space="preserve">annum interest rate equal to the greater of 3.75% above the Wall Street Journal Prime Rate and 9.25%</w:t></w:r></w:p><w:p><w:pPr><w:jc w:val="start"/></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rPr><w:t xml:space="preserve">The interest rate for advances under the revolving facility was a floating per annum interest rate equal to the greater of the Wall Street Journal Prime Rate and 5.50%.</w:t></w:r></w:p><w:p><w:pPr><w:jc w:val="start"/></w:pPr><w:r><w:rPr><w:rFonts w:ascii="Times New Roman" w:hAnsi="Times New Roman" w:eastAsia="Times New Roman" w:cs="Times New Roman"/><w:sz w:val="20"/><w:szCs w:val="20"/><w:spacing w:val="0"/></w:rPr><w:t xml:space="preserve"> If the Company elected to prepay the loan or terminate the facilities, the Company was required to pay a certain percentage of the outstanding principal as a prepayment fee. A final payment fee (the “Final Payment”) of </w:t></w:r></w:p><w:p><w:pPr><w:jc w:val="start"/></w:pPr><w:r><w:rPr><w:rFonts w:ascii="Times New Roman" w:hAnsi="Times New Roman" w:eastAsia="Times New Roman" w:cs="Times New Roman"/><w:sz w:val="20"/><w:szCs w:val="20"/></w:rPr><w:t xml:space="preserve">6.5</w:t></w:r></w:p><w:p><w:pPr><w:jc w:val="start"/></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spacing w:val="0"/></w:rPr><w:t xml:space="preserve">multiplied by the original aggregate principal amount of term loan facility was due upon the earlier to occur of the maturity date of the term loan or prepayment of all outstanding principal.</w:t></w:r></w:p><w:p><w:pPr><w:jc w:val="start"/></w:pPr><w:r><w:rPr><w:rFonts w:ascii="&quot;Times New Roman&quot;" w:hAnsi="&quot;Times New Roman&quot;" w:eastAsia="&quot;Times New Roman&quot;" w:cs="&quot;Times New Roman&quot;"/><w:sz w:val="20"/><w:szCs w:val="20"/><w:spacing w:val="0"/></w:rPr><w:t xml:space="preserve">In August 2021, upon entering into the 2021 Credit Agreement, the Company paid an aggregate amount of $70,559</w:t></w:r></w:p><w:p><w:pPr><w:jc w:val="start"/></w:pPr><w:r><w:rPr><w:rFonts w:ascii="&quot;Times New Roman&quot;" w:hAnsi="&quot;Times New Roman&quot;" w:eastAsia="&quot;Times New Roman&quot;" w:cs="&quot;Times New Roman&quot;"/><w:sz w:val="20"/><w:szCs w:val="20"/><w:spacing w:val="0"/></w:rPr><w:t xml:space="preserve"> due under the 2019 Credit Agreement, including unpaid principal, accrued interest, the Final Payment and a prepayment fee, with proceeds from the 2021 Credit Agreement, and the 2019 Credit Agreement was terminated. Upon termination of the 2019 Credit Agreement, the Company recognized</w:t></w:r></w:p><w:p><w:pPr><w:jc w:val="start"/></w:pPr><w:r><w:rPr><w:rFonts w:ascii="&quot;Times New Roman&quot;" w:hAnsi="&quot;Times New Roman&quot;" w:eastAsia="&quot;Times New Roman&quot;" w:cs="&quot;Times New Roman&quot;"/><w:sz w:val="20"/><w:szCs w:val="20"/><w:spacing w:val="0"/></w:rPr><w:t xml:space="preserve"> $1,883 </w:t></w:r></w:p><w:p><w:pPr><w:jc w:val="start"/></w:pPr><w:r><w:rPr><w:rFonts w:ascii="&quot;Times New Roman&quot;" w:hAnsi="&quot;Times New Roman&quot;" w:eastAsia="&quot;Times New Roman&quot;" w:cs="&quot;Times New Roman&quot;"/><w:sz w:val="20"/><w:szCs w:val="20"/><w:spacing w:val="0"/></w:rPr><w:t xml:space="preserve">as loss on the extinguishment of the loan for the three and nine months ended September 30, 2021.</w:t></w:r></w:p><w:p><w:pPr><w:jc w:val="start"/></w:pPr><w:r><w:rPr><w:rFonts w:ascii="&quot;Times New Roman&quot;" w:hAnsi="&quot;Times New Roman&quot;" w:eastAsia="&quot;Times New Roman&quot;" w:cs="&quot;Times New Roman&quot;"/><w:sz w:val="20"/><w:szCs w:val="20"/><w:b w:val="1"/><w:bCs w:val="1"/><w:spacing w:val="0"/></w:rPr><w:t xml:space="preserve">14. Stockholders’ Equity </w:t></w:r></w:p><w:p><w:pPr><w:jc w:val="start"/></w:pPr><w:r><w:rPr><w:rFonts w:ascii="&quot;Times New Roman&quot;" w:hAnsi="&quot;Times New Roman&quot;" w:eastAsia="&quot;Times New Roman&quot;" w:cs="&quot;Times New Roman&quot;"/><w:sz w:val="20"/><w:szCs w:val="20"/><w:b w:val="1"/><w:bCs w:val="1"/><w:i w:val="1"/><w:iCs w:val="1"/><w:spacing w:val="0"/></w:rPr><w:t xml:space="preserve">Common Stock </w:t></w:r></w:p><w:p><w:pPr><w:jc w:val="start"/></w:pPr><w:r><w:rPr><w:rFonts w:ascii="&quot;Times New Roman&quot;" w:hAnsi="&quot;Times New Roman&quot;" w:eastAsia="&quot;Times New Roman&quot;" w:cs="&quot;Times New Roman&quot;"/><w:sz w:val="20"/><w:szCs w:val="20"/><w:spacing w:val="0"/></w:rPr><w:t xml:space="preserve">As of September 30, 2021, the Company was authorized to issue 400,000,000 shares of $0.0001 par value Class A common stock and 1,000,000 shares of $0.0001 par value preferred stock. 129,365,209 shares of Class A common stock were issued and 128,636,661 shares were outstanding as of September 30, 2021. No shares of preferred stock were outstanding as of September 30, 2021. The issued shares of Class A common stock include 728,548 treasury shares that were reacquired in connection with the redemption of redeemable shares in March 2019. As of September 30, 2021 and December 31, 2020, the Company reserved the following shares of Class A common stock for future issuance: </w:t></w:r></w:p><w:p><w:pPr><w:jc w:val="start"/></w:pPr><w:r><w:rPr><w:sz w:val="24"/><w:szCs w:val="24"/><w:spacing w:val="0"/></w:rPr><w:t xml:space="preserve"> </w:t></w:r></w:p><w:tbl><w:tblGrid><w:gridCol w:w="3600" w:type="dxa"/><w:gridCol w:w="150" w:type="dxa"/><w:gridCol w:w="3800" w:type="dxa"/><w:gridCol w:w="3800" w:type="dxa"/><w:gridCol w:w="3800" w:type="dxa"/><w:gridCol w:w="150" w:type="dxa"/><w:gridCol w:w="3800" w:type="dxa"/><w:gridCol w:w="3800" w:type="dxa"/><w:gridCol w:w="3800" w:type="dxa"/></w:tblGrid><w:tblPr><w:tblW w:w="3800" w:type="pct"/><w:tblCellSpacing w:w="0" w:type="dxa"/><w:tblLayout w:type="autofit"/></w:tblPr><w:tr><w:trPr/><w:tc><w:tcPr><w:tcW w:w="3600" w:type="pct"/><w:noWrap/></w:tcPr><w:p><w:pPr/></w:p></w:tc><w:tc><w:tcPr><w:tcW w:w="150" w:type="pct"/><w:vAlign w:val="bottom"/><w:noWrap/></w:tcPr><w:p><w:pPr/></w:p></w:tc><w:tc><w:tcPr><w:tcW w:w="3800" w:type="pct"/><w:noWrap/></w:tcPr><w:p><w:pPr/></w:p></w:tc><w:tc><w:tcPr><w:tcW w:w="3800" w:type="pct"/><w:noWrap/></w:tcPr><w:p><w:pPr/></w:p></w:tc><w:tc><w:tcPr><w:tcW w:w="3800" w:type="pct"/><w:noWrap/></w:tcPr><w:p><w:pPr/></w:p></w:tc><w:tc><w:tcPr><w:tcW w:w="1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September 30,</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Shares reserved for issuance for outstanding options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6,724,574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6,425,040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Shares reserved for issuance for outstanding restricted stock units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768,203</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806,048</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Shares reserved for issuance for future grants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5,635,822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6,832,649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Total shares of authorized common stock reserved for future issuance</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13,128,599</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14,063,737</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15. Stock-Based Compensation </w:t></w:r></w:p><w:p><w:pPr><w:jc w:val="start"/></w:pPr><w:r><w:rPr><w:rFonts w:ascii="&quot;Times New Roman&quot;" w:hAnsi="&quot;Times New Roman&quot;" w:eastAsia="&quot;Times New Roman&quot;" w:cs="&quot;Times New Roman&quot;"/><w:sz w:val="20"/><w:szCs w:val="20"/><w:b w:val="1"/><w:bCs w:val="1"/><w:i w:val="1"/><w:iCs w:val="1"/><w:spacing w:val="0"/></w:rPr><w:t xml:space="preserve">Stock Incentive </w:t></w:r></w:p><w:p><w:pPr><w:jc w:val="start"/></w:pPr><w:r><w:rPr><w:rFonts w:ascii="&quot;Times New Roman&quot;" w:hAnsi="&quot;Times New Roman&quot;" w:eastAsia="&quot;Times New Roman&quot;" w:cs="&quot;Times New Roman&quot;"/><w:sz w:val="20"/><w:szCs w:val="20"/><w:b w:val="1"/><w:bCs w:val="1"/><w:i w:val="1"/><w:iCs w:val="1"/><w:spacing w:val="0"/></w:rPr><w:t xml:space="preserve">Plans-the</w:t></w:r></w:p><w:p><w:pPr><w:jc w:val="start"/></w:pPr><w:r><w:rPr><w:rFonts w:ascii="&quot;Times New Roman&quot;" w:hAnsi="&quot;Times New Roman&quot;" w:eastAsia="&quot;Times New Roman&quot;" w:cs="&quot;Times New Roman&quot;"/><w:sz w:val="20"/><w:szCs w:val="20"/><w:b w:val="1"/><w:bCs w:val="1"/><w:i w:val="1"/><w:iCs w:val="1"/><w:spacing w:val="0"/></w:rPr><w:t xml:space="preserve"> 2018 Plan </w:t></w:r></w:p><w:p><w:pPr><w:jc w:val="start"/></w:pPr><w:r><w:rPr><w:b w:val="1"/><w:bCs w:val="1"/><w:i w:val="1"/><w:iCs w:val="1"/><w:spacing w:val="0"/></w:rPr><w:t xml:space="preserve"> </w:t></w:r></w:p><w:p><w:pPr><w:jc w:val="start"/></w:pPr><w:r><w:rPr><w:rFonts w:ascii="&quot;Times New Roman&quot;" w:hAnsi="&quot;Times New Roman&quot;" w:eastAsia="&quot;Times New Roman&quot;" w:cs="&quot;Times New Roman&quot;"/><w:sz w:val="20"/><w:szCs w:val="20"/><w:spacing w:val="0"/></w:rPr><w:t xml:space="preserve">On November 28, 2018, the Board of Directors of the Company adopted, and on December 10, 2018, the Company’s stockholders approved, the Organogenesis 2018 Equity and Incentive Plan (the “2018 Plan”). The purposes of the 2018 Plan are to provide long-term incentives and rewards to the Company’s employees, officers, directors and other key persons (including consultants), to attract and retain persons with the requisite experience and ability, and to more closely align the interests of such employees, officers, directors and other key persons with the interests of the Company’s stockholders. </w:t></w:r></w:p><w:p><w:pPr><w:jc w:val="start"/></w:pPr><w:r><w:rPr><w:rFonts w:ascii="&quot;Times New Roman&quot;" w:hAnsi="&quot;Times New Roman&quot;" w:eastAsia="&quot;Times New Roman&quot;" w:cs="&quot;Times New Roman&quot;"/><w:sz w:val="20"/><w:szCs w:val="20"/><w:spacing w:val="0"/></w:rPr><w:t xml:space="preserve">The </w:t></w:r></w:p><w:p><w:pPr><w:jc w:val="start"/></w:pPr><w:r><w:rPr><w:rFonts w:ascii="&quot;Times New Roman&quot;" w:hAnsi="&quot;Times New Roman&quot;" w:eastAsia="&quot;Times New Roman&quot;" w:cs="&quot;Times New Roman&quot;"/><w:sz w:val="20"/><w:szCs w:val="20"/></w:rPr><w:t xml:space="preserve">2018</w:t></w:r></w:p><w:p><w:pPr><w:jc w:val="start"/></w:pPr><w:r><w:rPr><w:rFonts w:ascii="&quot;Times New Roman&quot;" w:hAnsi="&quot;Times New Roman&quot;" w:eastAsia="&quot;Times New Roman&quot;" w:cs="&quot;Times New Roman&quot;"/><w:sz w:val="20"/><w:szCs w:val="20"/><w:spacing w:val="0"/></w:rPr><w:t xml:space="preserve"> Plan authorizes the Company’s Board of Directors or a committee of not less than two independent directors (in either case, the “Administrator”) to grant the following types of awards: </w:t></w:r></w:p><w:p><w:pPr><w:jc w:val="start"/></w:pPr><w:r><w:rPr><w:rFonts w:ascii="&quot;Times New Roman&quot;" w:hAnsi="&quot;Times New Roman&quot;" w:eastAsia="&quot;Times New Roman&quot;" w:cs="&quot;Times New Roman&quot;"/><w:sz w:val="20"/><w:szCs w:val="20"/><w:spacing w:val="0"/></w:rPr><w:t xml:space="preserve">non-statutory</w:t></w:r></w:p><w:p><w:pPr><w:jc w:val="start"/></w:pPr><w:r><w:rPr><w:rFonts w:ascii="&quot;Times New Roman&quot;" w:hAnsi="&quot;Times New Roman&quot;" w:eastAsia="&quot;Times New Roman&quot;" w:cs="&quot;Times New Roman&quot;"/><w:sz w:val="20"/><w:szCs w:val="20"/><w:spacing w:val="0"/></w:rPr><w:t xml:space="preserve"> stock options; incentive stock options; restricted stock awards; restricted stock units; stock appreciation rights; unrestricted stock awards; performance share awards; and dividend equivalent rights. The </w:t></w:r></w:p><w:p><w:pPr><w:jc w:val="start"/></w:pPr><w:r><w:rPr><w:rFonts w:ascii="&quot;Times New Roman&quot;" w:hAnsi="&quot;Times New Roman&quot;" w:eastAsia="&quot;Times New Roman&quot;" w:cs="&quot;Times New Roman&quot;"/><w:sz w:val="20"/><w:szCs w:val="20"/></w:rPr><w:t xml:space="preserve">2018</w:t></w:r></w:p><w:p><w:pPr><w:jc w:val="start"/></w:pPr><w:r><w:rPr><w:rFonts w:ascii="&quot;Times New Roman&quot;" w:hAnsi="&quot;Times New Roman&quot;" w:eastAsia="&quot;Times New Roman&quot;" w:cs="&quot;Times New Roman&quot;"/><w:sz w:val="20"/><w:szCs w:val="20"/><w:spacing w:val="0"/></w:rPr><w:t xml:space="preserve"> Plan is administered by the Company’s Board of Directors.</w:t></w:r></w:p><w:p><w:pPr><w:jc w:val="start"/></w:pPr><w:r><w:rPr><w:rFonts w:ascii="&quot;Times New Roman&quot;" w:hAnsi="&quot;Times New Roman&quot;" w:eastAsia="&quot;Times New Roman&quot;" w:cs="&quot;Times New Roman&quot;"/><w:sz w:val="20"/><w:szCs w:val="20"/><w:spacing w:val="0"/></w:rPr><w:t xml:space="preserve">As of September 30, 2021, a total of 9,198,996 shares of Class A common stock have been authorized to be issued under the 2018 Plan (subject to adjustment in the case of any stock dividend, stock split, reverse stock split, or similar change in capitalization of the Company).</w:t></w:r></w:p><w:p><w:pPr><w:jc w:val="start"/></w:pPr><w:r><w:rPr><w:rFonts w:ascii="&quot;Times New Roman&quot;" w:hAnsi="&quot;Times New Roman&quot;" w:eastAsia="&quot;Times New Roman&quot;" w:cs="&quot;Times New Roman&quot;"/><w:sz w:val="20"/><w:szCs w:val="20"/><w:b w:val="1"/><w:bCs w:val="1"/><w:i w:val="1"/><w:iCs w:val="1"/><w:spacing w:val="0"/></w:rPr><w:t xml:space="preserve">Stock Incentive </w:t></w:r></w:p><w:p><w:pPr><w:jc w:val="start"/></w:pPr><w:r><w:rPr><w:rFonts w:ascii="&quot;Times New Roman&quot;" w:hAnsi="&quot;Times New Roman&quot;" w:eastAsia="&quot;Times New Roman&quot;" w:cs="&quot;Times New Roman&quot;"/><w:sz w:val="20"/><w:szCs w:val="20"/><w:b w:val="1"/><w:bCs w:val="1"/><w:i w:val="1"/><w:iCs w:val="1"/><w:spacing w:val="0"/></w:rPr><w:t xml:space="preserve">Plans-the</w:t></w:r></w:p><w:p><w:pPr><w:jc w:val="start"/></w:pPr><w:r><w:rPr><w:rFonts w:ascii="&quot;Times New Roman&quot;" w:hAnsi="&quot;Times New Roman&quot;" w:eastAsia="&quot;Times New Roman&quot;" w:cs="&quot;Times New Roman&quot;"/><w:sz w:val="20"/><w:szCs w:val="20"/><w:b w:val="1"/><w:bCs w:val="1"/><w:i w:val="1"/><w:iCs w:val="1"/><w:spacing w:val="0"/></w:rPr><w:t xml:space="preserve"> 2003 Plan</w:t></w:r></w:p><w:p><w:pPr><w:jc w:val="start"/></w:pPr><w:r><w:rPr><w:rFonts w:ascii="Times New Roman" w:hAnsi="Times New Roman" w:eastAsia="Times New Roman" w:cs="Times New Roman"/><w:sz w:val="20"/><w:szCs w:val="20"/></w:rPr><w:t xml:space="preserve">The Organogenesis 2003 Stock Incentive Plan (the “2003 Plan”), provides for the Company to issue restricted stock awards, or to grant incentive stock options or </w:t></w:r></w:p><w:p><w:pPr><w:jc w:val="start"/></w:pPr><w:r><w:rPr><w:rFonts w:ascii="Times New Roman" w:hAnsi="Times New Roman" w:eastAsia="Times New Roman" w:cs="Times New Roman"/><w:sz w:val="20"/><w:szCs w:val="20"/><w:spacing w:val="0"/></w:rPr><w:t xml:space="preserve">non-statutory</w:t></w:r></w:p><w:p><w:pPr><w:jc w:val="start"/></w:pPr><w:r><w:rPr><w:rFonts w:ascii="Times New Roman" w:hAnsi="Times New Roman" w:eastAsia="Times New Roman" w:cs="Times New Roman"/><w:sz w:val="20"/><w:szCs w:val="20"/></w:rPr><w:t xml:space="preserve"> stock options. Incentive stock options may be granted only to the Company’s employees. Restricted stock awards and </w:t></w:r></w:p><w:p><w:pPr><w:jc w:val="start"/></w:pPr><w:r><w:rPr><w:rFonts w:ascii="Times New Roman" w:hAnsi="Times New Roman" w:eastAsia="Times New Roman" w:cs="Times New Roman"/><w:sz w:val="20"/><w:szCs w:val="20"/><w:spacing w:val="0"/></w:rPr><w:t xml:space="preserve">non-statutory</w:t></w:r></w:p><w:p><w:pPr><w:jc w:val="start"/></w:pPr><w:r><w:rPr><w:rFonts w:ascii="Times New Roman" w:hAnsi="Times New Roman" w:eastAsia="Times New Roman" w:cs="Times New Roman"/><w:sz w:val="20"/><w:szCs w:val="20"/></w:rPr><w:t xml:space="preserve"> stock options may be granted to employees, members of the Board of Directors, outside advis</w:t></w:r></w:p><w:p><w:pPr><w:jc w:val="start"/></w:pPr><w:r><w:rPr><w:rFonts w:ascii="Times New Roman" w:hAnsi="Times New Roman" w:eastAsia="Times New Roman" w:cs="Times New Roman"/><w:sz w:val="20"/><w:szCs w:val="20"/><w:spacing w:val="0"/></w:rPr><w:t xml:space="preserve">o</w:t></w:r></w:p><w:p><w:pPr><w:jc w:val="start"/></w:pPr><w:r><w:rPr><w:rFonts w:ascii="Times New Roman" w:hAnsi="Times New Roman" w:eastAsia="Times New Roman" w:cs="Times New Roman"/><w:sz w:val="20"/><w:szCs w:val="20"/></w:rPr><w:t xml:space="preserve">rs and consultants of the Company. </w:t></w:r></w:p><w:p><w:pPr><w:jc w:val="start"/></w:pPr><w:r><w:rPr><w:rFonts w:ascii="&quot;Times New Roman&quot;" w:hAnsi="&quot;Times New Roman&quot;" w:eastAsia="&quot;Times New Roman&quot;" w:cs="&quot;Times New Roman&quot;"/><w:sz w:val="20"/><w:szCs w:val="20"/><w:spacing w:val="0"/></w:rPr><w:t xml:space="preserve">Effective as of the closing of the Avista Merger on December 10, 2018, no additional awards may be made under the 2003 Plan and as a result (i) any shares in respect of stock options that are expired or terminated under the 2003 Plan without having been fully exercised will not be available for future awards; (ii) any shares in respect of restricted stock that are forfeited to, or otherwise repurchased by the Company, will not be available for future awards; and (iii) any shares of common stock that are tendered to the Company by a participant to exercise an award will not be available for future awards.</w:t></w:r></w:p><w:p><w:pPr><w:jc w:val="start"/></w:pPr><w:r><w:rPr><w:rFonts w:ascii="&quot;Times New Roman&quot;" w:hAnsi="&quot;Times New Roman&quot;" w:eastAsia="&quot;Times New Roman&quot;" w:cs="&quot;Times New Roman&quot;"/><w:sz w:val="20"/><w:szCs w:val="20"/><w:b w:val="1"/><w:bCs w:val="1"/><w:i w:val="1"/><w:iCs w:val="1"/><w:spacing w:val="0"/></w:rPr><w:t xml:space="preserve">Stock-Based Compensation Expense</w:t></w:r></w:p><w:p><w:pPr><w:jc w:val="start"/></w:pPr><w:r><w:rPr><w:rFonts w:ascii="&quot;Times New Roman&quot;" w:hAnsi="&quot;Times New Roman&quot;" w:eastAsia="&quot;Times New Roman&quot;" w:cs="&quot;Times New Roman&quot;"/><w:sz w:val="20"/><w:szCs w:val="20"/><w:spacing w:val="0"/></w:rPr><w:t xml:space="preserve">Stock options awarded under the stock incentive plans expire 10 years after the grant date and typically vest over four or five years. Restricted stock units awarded typically vest over four years.</w:t></w:r></w:p><w:p><w:pPr><w:jc w:val="start"/></w:pPr><w:r><w:rPr><w:rFonts w:ascii="&quot;Times New Roman&quot;" w:hAnsi="&quot;Times New Roman&quot;" w:eastAsia="&quot;Times New Roman&quot;" w:cs="&quot;Times New Roman&quot;"/><w:sz w:val="20"/><w:szCs w:val="20"/><w:spacing w:val="0"/></w:rPr><w:t xml:space="preserve">Stock-based compensation expense was $1,041 and $486 for the three months ended September 30, 2021 and 2020, respectively, and was $2,781 and $1,164 for the nine months ended September 30, 2021 and 2020, respectively. The total amount of stock-based compensation expense was included within selling, general and administrative expenses on the consolidated statements of operations. </w:t></w:r></w:p><w:p><w:pPr><w:jc w:val="start"/></w:pPr><w:r><w:rPr><w:rFonts w:ascii="&quot;Times New Roman&quot;" w:hAnsi="&quot;Times New Roman&quot;" w:eastAsia="&quot;Times New Roman&quot;" w:cs="&quot;Times New Roman&quot;"/><w:sz w:val="20"/><w:szCs w:val="20"/><w:b w:val="1"/><w:bCs w:val="1"/><w:i w:val="1"/><w:iCs w:val="1"/><w:spacing w:val="0"/></w:rPr><w:t xml:space="preserve">Restricted Stock Units (RSUs) </w:t></w:r></w:p><w:p><w:pPr><w:jc w:val="start"/></w:pPr><w:r><w:rPr><w:rFonts w:ascii="&quot;Times New Roman&quot;" w:hAnsi="&quot;Times New Roman&quot;" w:eastAsia="&quot;Times New Roman&quot;" w:cs="&quot;Times New Roman&quot;"/><w:sz w:val="20"/><w:szCs w:val="20"/><w:spacing w:val="0"/></w:rPr><w:t xml:space="preserve">In the nine months ended September 30, 2021, the Company granted 299,352 time-based restricted stock units to its employees, executives and the Board of Directors. Each restricted stock unit represents the contingent right to receive one share of the Company’s common stock. A majority of the restricted stock units will vest in four equal annual installments. The fair value of the restricted stock units was based on the fair market value of the Company’s stock on the date of grant. </w:t></w:r></w:p><w:p><w:pPr><w:jc w:val="start"/></w:pPr><w:r><w:rPr><w:rFonts w:ascii="&quot;Times New Roman&quot;" w:hAnsi="&quot;Times New Roman&quot;" w:eastAsia="&quot;Times New Roman&quot;" w:cs="&quot;Times New Roman&quot;"/><w:sz w:val="20"/><w:szCs w:val="20"/><w:spacing w:val="0"/></w:rPr><w:t xml:space="preserve">The activity of restricted stock units is set forth below: </w:t></w:r></w:p><w:p><w:pPr><w:jc w:val="start"/></w:pPr><w:r><w:rPr><w:sz w:val="24"/><w:szCs w:val="24"/><w:spacing w:val="0"/></w:rPr><w:t xml:space="preserve"> </w:t></w:r></w:p><w:tbl><w:tblGrid><w:gridCol w:w="3900" w:type="dxa"/><w:gridCol w:w="250" w:type="dxa"/><w:gridCol w:w="3800" w:type="dxa"/><w:gridCol w:w="3800" w:type="dxa"/><w:gridCol w:w="3800" w:type="dxa"/><w:gridCol w:w="200" w:type="dxa"/><w:gridCol w:w="3800" w:type="dxa"/><w:gridCol w:w="3800" w:type="dxa"/><w:gridCol w:w="3800" w:type="dxa"/></w:tblGrid><w:tblPr><w:tblW w:w="3800" w:type="pct"/><w:tblCellSpacing w:w="0" w:type="dxa"/><w:tblLayout w:type="autofit"/></w:tblPr><w:tr><w:trPr/><w:tc><w:tcPr><w:tcW w:w="3900" w:type="pct"/><w:noWrap/></w:tcPr><w:p><w:pPr/></w:p></w:tc><w:tc><w:tcPr><w:tcW w:w="250" w:type="pct"/><w:vAlign w:val="bottom"/><w:noWrap/></w:tcPr><w:p><w:pPr/></w:p></w:tc><w:tc><w:tcPr><w:tcW w:w="3800" w:type="pct"/><w:noWrap/></w:tcPr><w:p><w:pPr/></w:p></w:tc><w:tc><w:tcPr><w:tcW w:w="3800" w:type="pct"/><w:noWrap/></w:tcPr><w:p><w:pPr/></w:p></w:tc><w:tc><w:tcPr><w:tcW w:w="3800" w:type="pct"/><w:noWrap/></w:tcPr><w:p><w:pPr/></w:p></w:tc><w:tc><w:tcPr><w:tcW w:w="2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Weighted</w:t></w:r><w:br/><w:r><w:rPr><w:rFonts w:ascii="Times New Roman" w:hAnsi="Times New Roman" w:eastAsia="Times New Roman" w:cs="Times New Roman"/><w:sz w:val="16"/><w:szCs w:val="16"/><w:b w:val="1"/><w:bCs w:val="1"/><w:spacing w:val="0"/></w:rPr><w:t xml:space="preserve"> Average</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Number</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Grant Date</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of Shares</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Fair Value</w:t></w:r></w:p></w:tc><w:tc><w:tcPr><w:tcW w:w="3800" w:type="pct"/><w:vAlign w:val="bottom"/><w:noWrap/></w:tcPr><w:p><w:pPr/><w:r><w:rPr><w:rFonts w:ascii="Times New Roman" w:hAnsi="Times New Roman" w:eastAsia="Times New Roman" w:cs="Times New Roman"/><w:sz w:val="16"/><w:szCs w:val="16"/><w:spacing w:val="0"/></w:rPr><w:t xml:space="preserve"> </w:t></w:r></w:p></w:tc></w:tr><w:tr><w:trPr/><w:tc><w:tcPr><w:tcW w:w="39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Unvested at December 31, 2020</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787,923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3.81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900" w:type="pct"/><w:vAlign w:val="top"/><w:noWrap/></w:tcPr><w:p><w:pPr/><w:r><w:rPr><w:rFonts w:ascii="&quot;Times New Roman&quot;" w:hAnsi="&quot;Times New Roman&quot;" w:eastAsia="&quot;Times New Roman&quot;" w:cs="&quot;Times New Roman&quot;"/><w:sz w:val="20"/><w:szCs w:val="20"/><w:spacing w:val="0"/></w:rPr><w:t xml:space="preserve">Granted</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299,352</w:t></w:r></w:p></w:tc><w:tc><w:tcPr><w:tcW w:w="380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14.46</w:t></w:r></w:p></w:tc><w:tc><w:tcPr><w:tcW w:w="3800" w:type="pct"/><w:vAlign w:val="bottom"/><w:noWrap/></w:tcPr><w:p><w:pPr/><w:r><w:rPr><w:rFonts w:ascii="Times New Roman" w:hAnsi="Times New Roman" w:eastAsia="Times New Roman" w:cs="Times New Roman"/><w:sz w:val="20"/><w:szCs w:val="20"/></w:rPr><w:t xml:space="preserve"> </w:t></w:r></w:p></w:tc></w:tr><w:tr><w:trPr/><w:tc><w:tcPr><w:tcW w:w="39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Vested</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(248,305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4.20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900" w:type="pct"/><w:vAlign w:val="top"/><w:noWrap/></w:tcPr><w:p><w:pPr/><w:r><w:rPr><w:rFonts w:ascii="&quot;Times New Roman&quot;" w:hAnsi="&quot;Times New Roman&quot;" w:eastAsia="&quot;Times New Roman&quot;" w:cs="&quot;Times New Roman&quot;"/><w:sz w:val="20"/><w:szCs w:val="20"/><w:spacing w:val="0"/></w:rPr><w:t xml:space="preserve">Canceled/Forfeited</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(70,767</w:t></w:r></w:p></w:tc><w:tc><w:tcPr><w:tcW w:w="380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8.01</w:t></w:r></w:p></w:tc><w:tc><w:tcPr><w:tcW w:w="3800" w:type="pct"/><w:vAlign w:val="bottom"/><w:noWrap/></w:tcPr><w:p><w:pPr/><w:r><w:rPr><w:rFonts w:ascii="Times New Roman" w:hAnsi="Times New Roman" w:eastAsia="Times New Roman" w:cs="Times New Roman"/><w:sz w:val="20"/><w:szCs w:val="20"/></w:rPr><w:t xml:space="preserve"> </w:t></w:r></w:p></w:tc></w:tr><w:tr><w:trPr/><w:tc><w:tcPr><w:tcW w:w="39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9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Unvested at September 30, 2021</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768,203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7.45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9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As of September 30, 2021, the total unrecognized compensation cost related to unvested restricted stock units expected to vest was $3,559 and the weighted average remaining recognition period for unvested awards was 2.92 years.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Stock Option Valuation </w:t></w:r></w:p><w:p><w:pPr><w:jc w:val="start"/></w:pPr><w:r><w:rPr><w:rFonts w:ascii="&quot;Times New Roman&quot;" w:hAnsi="&quot;Times New Roman&quot;" w:eastAsia="&quot;Times New Roman&quot;" w:cs="&quot;Times New Roman&quot;"/><w:sz w:val="20"/><w:szCs w:val="20"/><w:spacing w:val="0"/></w:rPr><w:t xml:space="preserve">The stock options granted during the nine months ended September 30, 2021 and 2020 were 1,069,658 and 1,553,723 respectively. The assumptions that the Company used to determine the grant-date fair value of stock options granted during these periods were as follows, presented on a weighted-average basis: </w:t></w:r></w:p><w:p><w:pPr><w:jc w:val="start"/></w:pPr><w:r><w:rPr><w:sz w:val="24"/><w:szCs w:val="24"/><w:spacing w:val="0"/></w:rPr><w:t xml:space="preserve"> </w:t></w:r></w:p><w:tbl><w:tblGrid><w:gridCol w:w="3600" w:type="dxa"/><w:gridCol w:w="550" w:type="dxa"/><w:gridCol w:w="3800" w:type="dxa"/><w:gridCol w:w="3800" w:type="dxa"/><w:gridCol w:w="3800" w:type="dxa"/><w:gridCol w:w="500" w:type="dxa"/><w:gridCol w:w="3800" w:type="dxa"/><w:gridCol w:w="3800" w:type="dxa"/><w:gridCol w:w="3800" w:type="dxa"/></w:tblGrid><w:tblPr><w:tblW w:w="3800" w:type="pct"/><w:tblCellSpacing w:w="0" w:type="dxa"/><w:tblLayout w:type="autofit"/></w:tblPr><w:tr><w:trPr/><w:tc><w:tcPr><w:tcW w:w="3600" w:type="pct"/><w:noWrap/></w:tcPr><w:p><w:pPr/></w:p></w:tc><w:tc><w:tcPr><w:tcW w:w="550" w:type="pct"/><w:vAlign w:val="bottom"/><w:noWrap/></w:tcPr><w:p><w:pPr/></w:p></w:tc><w:tc><w:tcPr><w:tcW w:w="3800" w:type="pct"/><w:noWrap/></w:tcPr><w:p><w:pPr/></w:p></w:tc><w:tc><w:tcPr><w:tcW w:w="3800" w:type="pct"/><w:noWrap/></w:tcPr><w:p><w:pPr/></w:p></w:tc><w:tc><w:tcPr><w:tcW w:w="3800" w:type="pct"/><w:noWrap/></w:tcPr><w:p><w:pPr/></w:p></w:tc><w:tc><w:tcPr><w:tcW w:w="5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September 30,</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September 30,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Risk-free interest rate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0.83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0.46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Expected term (in years)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6.22</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6.22</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Expected volatility</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39.31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37.42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Expected dividend yield</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0.0</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0.0</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Exercise price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13.57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4.04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Underlying stock price</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13.57</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3.37</w:t></w:r></w:p></w:tc><w:tc><w:tcPr><w:tcW w:w="3800" w:type="pct"/><w:vAlign w:val="bottom"/><w:noWrap/></w:tcPr><w:p><w:pPr/><w:r><w:rPr><w:rFonts w:ascii="Times New Roman" w:hAnsi="Times New Roman" w:eastAsia="Times New Roman" w:cs="Times New Roman"/><w:sz w:val="20"/><w:szCs w:val="20"/></w:rPr><w:t xml:space="preserve"> </w:t></w:r></w:p></w:tc></w:tr></w:tbl><w:p><w:pPr><w:jc w:val="start"/></w:pPr><w:r><w:rPr><w:rFonts w:ascii="&quot;Times New Roman&quot;" w:hAnsi="&quot;Times New Roman&quot;" w:eastAsia="&quot;Times New Roman&quot;" w:cs="&quot;Times New Roman&quot;"/><w:sz w:val="20"/><w:szCs w:val="20"/><w:spacing w:val="0"/></w:rPr><w:t xml:space="preserve">These assumptions resulted in an estimated weighted-average grant-date fair value per share of stock options granted during the nine months ended September 30, 2021 and 2020 of $5.32 and $1.05, respectively. </w:t></w:r></w:p><w:p><w:pPr><w:jc w:val="start"/></w:pPr><w:r><w:rPr><w:rFonts w:ascii="&quot;Times New Roman&quot;" w:hAnsi="&quot;Times New Roman&quot;" w:eastAsia="&quot;Times New Roman&quot;" w:cs="&quot;Times New Roman&quot;"/><w:sz w:val="20"/><w:szCs w:val="20"/><w:b w:val="1"/><w:bCs w:val="1"/><w:i w:val="1"/><w:iCs w:val="1"/><w:spacing w:val="0"/></w:rPr><w:t xml:space="preserve">Stock Option Activity </w:t></w:r></w:p><w:p><w:pPr><w:jc w:val="start"/></w:pPr><w:r><w:rPr><w:rFonts w:ascii="&quot;Times New Roman&quot;" w:hAnsi="&quot;Times New Roman&quot;" w:eastAsia="&quot;Times New Roman&quot;" w:cs="&quot;Times New Roman&quot;"/><w:sz w:val="20"/><w:szCs w:val="20"/><w:spacing w:val="0"/></w:rPr><w:t xml:space="preserve">The following table summarizes the Company’s stock option activity since December 31, 2020: </w:t></w:r></w:p><w:p><w:pPr><w:jc w:val="start"/></w:pPr><w:r><w:rPr><w:sz w:val="24"/><w:szCs w:val="24"/><w:spacing w:val="0"/></w:rPr><w:t xml:space="preserve"> </w:t></w:r></w:p><w:tbl><w:tblGrid><w:gridCol w:w="3100" w:type="dxa"/><w:gridCol w:w="250" w:type="dxa"/><w:gridCol w:w="4600" w:type="dxa"/><w:gridCol w:w="4600" w:type="dxa"/><w:gridCol w:w="4600" w:type="dxa"/><w:gridCol w:w="200" w:type="dxa"/><w:gridCol w:w="4600" w:type="dxa"/><w:gridCol w:w="4600" w:type="dxa"/><w:gridCol w:w="4600" w:type="dxa"/><w:gridCol w:w="250" w:type="dxa"/><w:gridCol w:w="4600" w:type="dxa"/><w:gridCol w:w="4600" w:type="dxa"/><w:gridCol w:w="4600" w:type="dxa"/><w:gridCol w:w="250" w:type="dxa"/><w:gridCol w:w="4600" w:type="dxa"/><w:gridCol w:w="4600" w:type="dxa"/><w:gridCol w:w="4600" w:type="dxa"/></w:tblGrid><w:tblPr><w:tblW w:w="4600" w:type="pct"/><w:tblCellSpacing w:w="0" w:type="dxa"/><w:tblLayout w:type="autofit"/></w:tblPr><w:tr><w:trPr/><w:tc><w:tcPr><w:tcW w:w="3100" w:type="pct"/><w:noWrap/></w:tcPr><w:p><w:pPr/></w:p></w:tc><w:tc><w:tcPr><w:tcW w:w="250" w:type="pct"/><w:vAlign w:val="bottom"/><w:noWrap/></w:tcPr><w:p><w:pPr/></w:p></w:tc><w:tc><w:tcPr><w:tcW w:w="4600" w:type="pct"/><w:noWrap/></w:tcPr><w:p><w:pPr/></w:p></w:tc><w:tc><w:tcPr><w:tcW w:w="4600" w:type="pct"/><w:noWrap/></w:tcPr><w:p><w:pPr/></w:p></w:tc><w:tc><w:tcPr><w:tcW w:w="4600" w:type="pct"/><w:noWrap/></w:tcPr><w:p><w:pPr/></w:p></w:tc><w:tc><w:tcPr><w:tcW w:w="200" w:type="pct"/><w:vAlign w:val="bottom"/><w:noWrap/></w:tcPr><w:p><w:pPr/></w:p></w:tc><w:tc><w:tcPr><w:tcW w:w="4600" w:type="pct"/><w:noWrap/></w:tcPr><w:p><w:pPr/></w:p></w:tc><w:tc><w:tcPr><w:tcW w:w="4600" w:type="pct"/><w:noWrap/></w:tcPr><w:p><w:pPr/></w:p></w:tc><w:tc><w:tcPr><w:tcW w:w="4600" w:type="pct"/><w:noWrap/></w:tcPr><w:p><w:pPr/></w:p></w:tc><w:tc><w:tcPr><w:tcW w:w="250" w:type="pct"/><w:vAlign w:val="bottom"/><w:noWrap/></w:tcPr><w:p><w:pPr/></w:p></w:tc><w:tc><w:tcPr><w:tcW w:w="4600" w:type="pct"/><w:noWrap/></w:tcPr><w:p><w:pPr/></w:p></w:tc><w:tc><w:tcPr><w:tcW w:w="4600" w:type="pct"/><w:noWrap/></w:tcPr><w:p><w:pPr/></w:p></w:tc><w:tc><w:tcPr><w:tcW w:w="4600" w:type="pct"/><w:noWrap/></w:tcPr><w:p><w:pPr/></w:p></w:tc><w:tc><w:tcPr><w:tcW w:w="2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Weighted</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r><w:tr><w:trPr/><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Average</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r><w:tr><w:trPr/><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Weighted</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Remaining</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r><w:tr><w:trPr/><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Average</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Contractual</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Aggregate</w:t></w:r></w:p></w:tc><w:tc><w:tcPr><w:tcW w:w="4600" w:type="pct"/><w:vAlign w:val="bottom"/><w:noWrap/></w:tcPr><w:p><w:pPr/><w:r><w:rPr><w:rFonts w:ascii="Times New Roman" w:hAnsi="Times New Roman" w:eastAsia="Times New Roman" w:cs="Times New Roman"/><w:sz w:val="16"/><w:szCs w:val="16"/><w:spacing w:val="0"/></w:rPr><w:t xml:space="preserve"> </w:t></w:r></w:p></w:tc></w:tr><w:tr><w:trPr/><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Number of</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Exercise</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Term</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Intrinsic</w:t></w:r></w:p></w:tc><w:tc><w:tcPr><w:tcW w:w="4600" w:type="pct"/><w:vAlign w:val="bottom"/><w:noWrap/></w:tcPr><w:p><w:pPr/><w:r><w:rPr><w:rFonts w:ascii="Times New Roman" w:hAnsi="Times New Roman" w:eastAsia="Times New Roman" w:cs="Times New Roman"/><w:sz w:val="16"/><w:szCs w:val="16"/><w:spacing w:val="0"/></w:rPr><w:t xml:space="preserve"> </w:t></w:r></w:p></w:tc></w:tr><w:tr><w:trPr/><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Shares</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Price</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(in years)</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Value</w:t></w:r></w:p></w:tc><w:tc><w:tcPr><w:tcW w:w="4600" w:type="pct"/><w:vAlign w:val="bottom"/><w:noWrap/></w:tcPr><w:p><w:pPr/><w:r><w:rPr><w:rFonts w:ascii="Times New Roman" w:hAnsi="Times New Roman" w:eastAsia="Times New Roman" w:cs="Times New Roman"/><w:sz w:val="16"/><w:szCs w:val="16"/><w:spacing w:val="0"/></w:rPr><w:t xml:space="preserve"> </w:t></w:r></w:p></w:tc></w:tr><w:tr><w:trPr/><w:tc><w:tcPr><w:tcW w:w="3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Outstanding as of December 31, 2020</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6,617,403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2.32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5.22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34,447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100" w:type="pct"/><w:vAlign w:val="top"/><w:noWrap/></w:tcPr><w:p><w:pPr/><w:r><w:rPr><w:rFonts w:ascii="&quot;Times New Roman&quot;" w:hAnsi="&quot;Times New Roman&quot;" w:eastAsia="&quot;Times New Roman&quot;" w:cs="&quot;Times New Roman&quot;"/><w:sz w:val="20"/><w:szCs w:val="20"/><w:spacing w:val="0"/></w:rPr><w:t xml:space="preserve">Granted</w:t></w:r></w:p></w:tc><w:tc><w:tcPr><w:tcW w:w="2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1,069,658</w:t></w:r></w:p></w:tc><w:tc><w:tcPr><w:tcW w:w="460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13.57</w:t></w:r></w:p></w:tc><w:tc><w:tcPr><w:tcW w:w="46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quot;Times New Roman&quot;" w:hAnsi="&quot;Times New Roman&quot;" w:eastAsia="&quot;Times New Roman&quot;" w:cs="&quot;Times New Roman&quot;"/><w:sz w:val="20"/><w:szCs w:val="20"/></w:rPr><w:t xml:space="preserve"> </w:t></w:r></w:p></w:tc><w:tc><w:tcPr><w:tcW w:w="4600" w:type="pct"/><w:vAlign w:val="bottom"/><w:noWrap/></w:tcPr><w:p><w:pPr/><w:r><w:rPr><w:rFonts w:ascii="&quot;Times New Roman&quot;" w:hAnsi="&quot;Times New Roman&quot;" w:eastAsia="&quot;Times New Roman&quot;" w:cs="&quot;Times New Roman&quot;"/><w:sz w:val="20"/><w:szCs w:val="20"/></w:rPr><w:t xml:space="preserve"> </w:t></w:r></w:p></w:tc><w:tc><w:tcPr><w:tcW w:w="4600" w:type="pct"/><w:vAlign w:val="bottom"/><w:noWrap/></w:tcPr><w:p><w:pPr/><w:r><w:rPr><w:rFonts w:ascii="&quot;Times New Roman&quot;" w:hAnsi="&quot;Times New Roman&quot;" w:eastAsia="&quot;Times New Roman&quot;" w:cs="&quot;Times New Roman&quot;"/><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quot;Times New Roman&quot;" w:hAnsi="&quot;Times New Roman&quot;" w:eastAsia="&quot;Times New Roman&quot;" w:cs="&quot;Times New Roman&quot;"/><w:sz w:val="20"/><w:szCs w:val="20"/></w:rPr><w:t xml:space="preserve"> </w:t></w:r></w:p></w:tc><w:tc><w:tcPr><w:tcW w:w="4600" w:type="pct"/><w:vAlign w:val="bottom"/><w:noWrap/></w:tcPr><w:p><w:pPr/><w:r><w:rPr><w:rFonts w:ascii="&quot;Times New Roman&quot;" w:hAnsi="&quot;Times New Roman&quot;" w:eastAsia="&quot;Times New Roman&quot;" w:cs="&quot;Times New Roman&quot;"/><w:sz w:val="20"/><w:szCs w:val="20"/></w:rPr><w:t xml:space="preserve"> </w:t></w:r></w:p></w:tc><w:tc><w:tcPr><w:tcW w:w="4600" w:type="pct"/><w:vAlign w:val="bottom"/><w:noWrap/></w:tcPr><w:p><w:pPr/><w:r><w:rPr><w:rFonts w:ascii="&quot;Times New Roman&quot;" w:hAnsi="&quot;Times New Roman&quot;" w:eastAsia="&quot;Times New Roman&quot;" w:cs="&quot;Times New Roman&quot;"/><w:sz w:val="20"/><w:szCs w:val="20"/></w:rPr><w:t xml:space="preserve"> </w:t></w:r></w:p></w:tc></w:tr><w:tr><w:trPr/><w:tc><w:tcPr><w:tcW w:w="3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Exercised</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(912,205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2.31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9,720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100" w:type="pct"/><w:vAlign w:val="top"/><w:noWrap/></w:tcPr><w:p><w:pPr/><w:r><w:rPr><w:rFonts w:ascii="&quot;Times New Roman&quot;" w:hAnsi="&quot;Times New Roman&quot;" w:eastAsia="&quot;Times New Roman&quot;" w:cs="&quot;Times New Roman&quot;"/><w:sz w:val="20"/><w:szCs w:val="20"/><w:spacing w:val="0"/></w:rPr><w:t xml:space="preserve">Canceled / forfeited</w:t></w:r></w:p></w:tc><w:tc><w:tcPr><w:tcW w:w="2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(50,282</w:t></w:r></w:p></w:tc><w:tc><w:tcPr><w:tcW w:w="460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8.30</w:t></w:r></w:p></w:tc><w:tc><w:tcPr><w:tcW w:w="46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quot;Times New Roman&quot;" w:hAnsi="&quot;Times New Roman&quot;" w:eastAsia="&quot;Times New Roman&quot;" w:cs="&quot;Times New Roman&quot;"/><w:sz w:val="20"/><w:szCs w:val="20"/></w:rPr><w:t xml:space="preserve"> </w:t></w:r></w:p></w:tc><w:tc><w:tcPr><w:tcW w:w="4600" w:type="pct"/><w:vAlign w:val="bottom"/><w:noWrap/></w:tcPr><w:p><w:pPr/><w:r><w:rPr><w:rFonts w:ascii="&quot;Times New Roman&quot;" w:hAnsi="&quot;Times New Roman&quot;" w:eastAsia="&quot;Times New Roman&quot;" w:cs="&quot;Times New Roman&quot;"/><w:sz w:val="20"/><w:szCs w:val="20"/></w:rPr><w:t xml:space="preserve"> </w:t></w:r></w:p></w:tc><w:tc><w:tcPr><w:tcW w:w="4600" w:type="pct"/><w:vAlign w:val="bottom"/><w:noWrap/></w:tcPr><w:p><w:pPr/><w:r><w:rPr><w:rFonts w:ascii="&quot;Times New Roman&quot;" w:hAnsi="&quot;Times New Roman&quot;" w:eastAsia="&quot;Times New Roman&quot;" w:cs="&quot;Times New Roman&quot;"/><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quot;Times New Roman&quot;" w:hAnsi="&quot;Times New Roman&quot;" w:eastAsia="&quot;Times New Roman&quot;" w:cs="&quot;Times New Roman&quot;"/><w:sz w:val="20"/><w:szCs w:val="20"/></w:rPr><w:t xml:space="preserve"> </w:t></w:r></w:p></w:tc><w:tc><w:tcPr><w:tcW w:w="4600" w:type="pct"/><w:vAlign w:val="bottom"/><w:noWrap/></w:tcPr><w:p><w:pPr/><w:r><w:rPr><w:rFonts w:ascii="&quot;Times New Roman&quot;" w:hAnsi="&quot;Times New Roman&quot;" w:eastAsia="&quot;Times New Roman&quot;" w:cs="&quot;Times New Roman&quot;"/><w:sz w:val="20"/><w:szCs w:val="20"/></w:rPr><w:t xml:space="preserve"> </w:t></w:r></w:p></w:tc><w:tc><w:tcPr><w:tcW w:w="4600" w:type="pct"/><w:vAlign w:val="bottom"/><w:noWrap/></w:tcPr><w:p><w:pPr/><w:r><w:rPr><w:rFonts w:ascii="&quot;Times New Roman&quot;" w:hAnsi="&quot;Times New Roman&quot;" w:eastAsia="&quot;Times New Roman&quot;" w:cs="&quot;Times New Roman&quot;"/><w:sz w:val="20"/><w:szCs w:val="20"/></w:rPr><w:t xml:space="preserve"> </w:t></w:r></w:p></w:tc></w:tr><w:tr><w:trPr/><w:tc><w:tcPr><w:tcW w:w="31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r><w:tr><w:trPr/><w:tc><w:tcPr><w:tcW w:w="3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Outstanding as of September 30, 2021</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6,724,574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4.07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5.36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68,605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1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r><w:tr><w:trPr/><w:tc><w:tcPr><w:tcW w:w="3100" w:type="pct"/><w:vAlign w:val="top"/><w:noWrap/></w:tcPr><w:p><w:pPr/><w:r><w:rPr><w:rFonts w:ascii="&quot;Times New Roman&quot;" w:hAnsi="&quot;Times New Roman&quot;" w:eastAsia="&quot;Times New Roman&quot;" w:cs="&quot;Times New Roman&quot;"/><w:sz w:val="20"/><w:szCs w:val="20"/><w:spacing w:val="0"/></w:rPr><w:t xml:space="preserve">Options exercisable as of September 30, 2021</w:t></w:r></w:p></w:tc><w:tc><w:tcPr><w:tcW w:w="2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4,335,117</w:t></w:r></w:p></w:tc><w:tc><w:tcPr><w:tcW w:w="460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1.74</w:t></w:r></w:p></w:tc><w:tc><w:tcPr><w:tcW w:w="46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3.57</w:t></w:r></w:p></w:tc><w:tc><w:tcPr><w:tcW w:w="46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54,186</w:t></w:r></w:p></w:tc><w:tc><w:tcPr><w:tcW w:w="4600" w:type="pct"/><w:vAlign w:val="bottom"/><w:noWrap/></w:tcPr><w:p><w:pPr/><w:r><w:rPr><w:rFonts w:ascii="Times New Roman" w:hAnsi="Times New Roman" w:eastAsia="Times New Roman" w:cs="Times New Roman"/><w:sz w:val="20"/><w:szCs w:val="20"/></w:rPr><w:t xml:space="preserve"> </w:t></w:r></w:p></w:tc></w:tr><w:tr><w:trPr/><w:tc><w:tcPr><w:tcW w:w="31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r><w:tr><w:trPr/><w:tc><w:tcPr><w:tcW w:w="3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Options vested or expected to vest as of September 30, 2021</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6,271,605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3.71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5.11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66,231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1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 </w:t></w:r></w:p><w:p><w:pPr><w:jc w:val="start"/></w:pPr><w:r><w:rPr><w:rFonts w:ascii="&quot;Times New Roman&quot;" w:hAnsi="&quot;Times New Roman&quot;" w:eastAsia="&quot;Times New Roman&quot;" w:cs="&quot;Times New Roman&quot;"/><w:sz w:val="20"/><w:szCs w:val="20"/><w:spacing w:val="0"/></w:rPr><w:t xml:space="preserve">The total fair value of options vested during the nine months ended September 30, 2021 and 2020 was $592 and $387, respectively. </w:t></w:r></w:p><w:p><w:pPr><w:jc w:val="start"/></w:pPr><w:r><w:rPr><w:rFonts w:ascii="&quot;Times New Roman&quot;" w:hAnsi="&quot;Times New Roman&quot;" w:eastAsia="&quot;Times New Roman&quot;" w:cs="&quot;Times New Roman&quot;"/><w:sz w:val="20"/><w:szCs w:val="20"/><w:spacing w:val="0"/></w:rPr><w:t xml:space="preserve">As of September 30, 2021, the total unrecognized stock compensation expense related to unvested stock options expected to vest was $4,431 and was expected to be recognized over a weighted-average period of 3.10 years. </w:t></w:r></w:p><w:p><w:pPr><w:jc w:val="start"/></w:pPr><w:r><w:rPr><w:rFonts w:ascii="&quot;Times New Roman&quot;" w:hAnsi="&quot;Times New Roman&quot;" w:eastAsia="&quot;Times New Roman&quot;" w:cs="&quot;Times New Roman&quot;"/><w:sz w:val="20"/><w:szCs w:val="20"/><w:spacing w:val="0"/></w:rPr><w:t xml:space="preserve">Between 2010 and 2013, a former executive took several partial recourse notes totaling $635 to exercise his 675,990 shares of stock options. The notes were secured with these shares held by the former executive. When the loans were outstanding, the options were not considered exercised and were included within the options outstanding for accounting purposes. As of December 31, 2020, $334 of the principal balance of the partial recourse notes was outstanding and 195,278 shares were not considered outstanding for accounting purposes. In the three months ended March 31, 2021, the former executive repaid the remaining principal balance of the notes (see Note “19. Related Parties Transactions”). The repayments were treated as the exercise price for the 195,278 shares of the options and were included in the consolidated statement of stockholders’ equity. As of September 30, 2021, none of the partial recourse notes was outstanding and all of the 675,990 shares used to secure the notes were considered outstanding for accounting purposes. </w:t></w:r></w:p><w:p><w:pPr><w:jc w:val="center"/></w:pPr><w:r><w:rPr><w:rFonts w:ascii="&quot;Times New Roman&quot;" w:hAnsi="&quot;Times New Roman&quot;" w:eastAsia="&quot;Times New Roman&quot;" w:cs="&quot;Times New Roman&quot;"/><w:sz w:val="20"/><w:szCs w:val="20"/></w:rPr><w:t xml:space="preserve"> </w:t></w:r></w:p><w:p><w:pPr><w:jc w:val="center"/></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16. Net Income (Loss) per Share (EPS)</w:t></w:r></w:p><w:p><w:pPr><w:jc w:val="start"/></w:pPr><w:r><w:rPr><w:rFonts w:ascii="&quot;Times New Roman&quot;" w:hAnsi="&quot;Times New Roman&quot;" w:eastAsia="&quot;Times New Roman&quot;" w:cs="&quot;Times New Roman&quot;"/><w:sz w:val="20"/><w:szCs w:val="20"/><w:spacing w:val="0"/></w:rPr><w:t xml:space="preserve">Basic EPS is calculated by dividing net income (loss) by the weighted-average number of shares outstanding during the period. Diluted EPS is calculated by dividing net income (loss) by the weighted-average number of shares outst</w:t></w:r></w:p><w:p><w:pPr><w:jc w:val="start"/></w:pPr><w:r><w:rPr><w:rFonts w:ascii="&quot;Times New Roman&quot;" w:hAnsi="&quot;Times New Roman&quot;" w:eastAsia="&quot;Times New Roman&quot;" w:cs="&quot;Times New Roman&quot;"/><w:sz w:val="20"/><w:szCs w:val="20"/><w:spacing w:val="0"/></w:rPr><w:t xml:space="preserve">a</w:t></w:r></w:p><w:p><w:pPr><w:jc w:val="start"/></w:pPr><w:r><w:rPr><w:rFonts w:ascii="&quot;Times New Roman&quot;" w:hAnsi="&quot;Times New Roman&quot;" w:eastAsia="&quot;Times New Roman&quot;" w:cs="&quot;Times New Roman&quot;"/><w:sz w:val="20"/><w:szCs w:val="20"/><w:spacing w:val="0"/></w:rPr><w:t xml:space="preserve">nding plus the dilutive effect, if any, of outstanding equity awards using the treasury stock method which includes consideration of unrecognized compensation expenses as additional proceeds.</w:t></w:r></w:p><w:p><w:pPr><w:jc w:val="start"/></w:pPr><w:r><w:rPr><w:rFonts w:ascii="&quot;Times New Roman&quot;" w:hAnsi="&quot;Times New Roman&quot;" w:eastAsia="&quot;Times New Roman&quot;" w:cs="&quot;Times New Roman&quot;"/><w:sz w:val="20"/><w:szCs w:val="20"/><w:spacing w:val="0"/></w:rPr><w:t xml:space="preserve">A reconciliation of the numerator and denominator used in the calculation of the basic and diluted net income (loss) attributable to the common stockholders of Organogenesis Holdings Inc. is as follows. </w:t></w:r></w:p><w:p><w:pPr><w:jc w:val="start"/></w:pPr><w:r><w:rPr><w:sz w:val="24"/><w:szCs w:val="24"/><w:spacing w:val="0"/></w:rPr><w:t xml:space="preserve"> </w:t></w:r></w:p><w:tbl><w:tblGrid><w:gridCol w:w="2450" w:type="dxa"/><w:gridCol w:w="400" w:type="dxa"/><w:gridCol w:w="4600" w:type="dxa"/><w:gridCol w:w="4600" w:type="dxa"/><w:gridCol w:w="4600" w:type="dxa"/><w:gridCol w:w="400" w:type="dxa"/><w:gridCol w:w="4600" w:type="dxa"/><w:gridCol w:w="4600" w:type="dxa"/><w:gridCol w:w="4600" w:type="dxa"/><w:gridCol w:w="400" w:type="dxa"/><w:gridCol w:w="4600" w:type="dxa"/><w:gridCol w:w="4600" w:type="dxa"/><w:gridCol w:w="4600" w:type="dxa"/><w:gridCol w:w="400" w:type="dxa"/><w:gridCol w:w="4600" w:type="dxa"/><w:gridCol w:w="4600" w:type="dxa"/><w:gridCol w:w="4600" w:type="dxa"/></w:tblGrid><w:tblPr><w:tblW w:w="4600" w:type="pct"/><w:tblCellSpacing w:w="0" w:type="dxa"/><w:tblLayout w:type="autofit"/></w:tblPr><w:tr><w:trPr/><w:tc><w:tcPr><w:tcW w:w="2450" w:type="pct"/><w:noWrap/></w:tcPr><w:p><w:pPr/></w:p></w:tc><w:tc><w:tcPr><w:tcW w:w="400" w:type="pct"/><w:vAlign w:val="bottom"/><w:noWrap/></w:tcPr><w:p><w:pPr/></w:p></w:tc><w:tc><w:tcPr><w:tcW w:w="4600" w:type="pct"/><w:noWrap/></w:tcPr><w:p><w:pPr/></w:p></w:tc><w:tc><w:tcPr><w:tcW w:w="4600" w:type="pct"/><w:noWrap/></w:tcPr><w:p><w:pPr/></w:p></w:tc><w:tc><w:tcPr><w:tcW w:w="4600" w:type="pct"/><w:noWrap/></w:tcPr><w:p><w:pPr/></w:p></w:tc><w:tc><w:tcPr><w:tcW w:w="400" w:type="pct"/><w:vAlign w:val="bottom"/><w:noWrap/></w:tcPr><w:p><w:pPr/></w:p></w:tc><w:tc><w:tcPr><w:tcW w:w="4600" w:type="pct"/><w:noWrap/></w:tcPr><w:p><w:pPr/></w:p></w:tc><w:tc><w:tcPr><w:tcW w:w="4600" w:type="pct"/><w:noWrap/></w:tcPr><w:p><w:pPr/></w:p></w:tc><w:tc><w:tcPr><w:tcW w:w="4600" w:type="pct"/><w:noWrap/></w:tcPr><w:p><w:pPr/></w:p></w:tc><w:tc><w:tcPr><w:tcW w:w="400" w:type="pct"/><w:vAlign w:val="bottom"/><w:noWrap/></w:tcPr><w:p><w:pPr/></w:p></w:tc><w:tc><w:tcPr><w:tcW w:w="4600" w:type="pct"/><w:noWrap/></w:tcPr><w:p><w:pPr/></w:p></w:tc><w:tc><w:tcPr><w:tcW w:w="4600" w:type="pct"/><w:noWrap/></w:tcPr><w:p><w:pPr/></w:p></w:tc><w:tc><w:tcPr><w:tcW w:w="4600" w:type="pct"/><w:noWrap/></w:tcPr><w:p><w:pPr/></w:p></w:tc><w:tc><w:tcPr><w:tcW w:w="4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 Months Ended</w:t></w:r><w:r><w:rPr><w:rFonts w:ascii="&quot;Times New Roman&quot;" w:hAnsi="&quot;Times New Roman&quot;" w:eastAsia="&quot;Times New Roman&quot;" w:cs="&quot;Times New Roman&quot;"/><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Nine Months Ended</w:t></w:r><w:r><w:rPr><w:rFonts w:ascii="&quot;Times New Roman&quot;" w:hAnsi="&quot;Times New Roman&quot;" w:eastAsia="&quot;Times New Roman&quot;" w:cs="&quot;Times New Roman&quot;"/><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Numerator:</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Net Income (loss)</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12,577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20,755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43,207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(1,081</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Denominator:</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rPr><w:t xml:space="preserve">Weighted average common shares outstanding</w:t></w:r><w:r><w:rPr><w:rFonts w:ascii="&quot;Times New Roman&quot;" w:hAnsi="&quot;Times New Roman&quot;" w:eastAsia="&quot;Times New Roman&quot;" w:cs="&quot;Times New Roman&quot;"/><w:sz w:val="20"/><w:szCs w:val="20"/><w:spacing w:val="0"/></w:rPr><w:t xml:space="preserve"> </w:t></w:r><w:r><w:rPr><w:rFonts w:ascii="&quot;Times New Roman&quot;" w:hAnsi="&quot;Times New Roman&quot;" w:eastAsia="&quot;Times New Roman&quot;" w:cs="&quot;Times New Roman&quot;"/><w:sz w:val="20"/><w:szCs w:val="20"/></w:rPr><w:t xml:space="preserve">—basic</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128,546,301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105,040,035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128,219,674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104,748,297</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Dilutive effect of restricted stock units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458,642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134,759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498,105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Dilutive effect of options</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4,845,273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3,314,974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5,048,225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Weighted-average common shares outstanding—diluted</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133,850,216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108,489,768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133,766,004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104,748,297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Earnings (loss) per share—basic</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0.10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0.20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0.34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(0.01</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Earnings (loss) per share—diluted</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0.09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0.19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0.32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(0.01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For the three and</w:t></w:r></w:p><w:p><w:pPr><w:jc w:val="start"/></w:pPr><w:r><w:rPr><w:rFonts w:ascii="Times New Roman" w:hAnsi="Times New Roman" w:eastAsia="Times New Roman" w:cs="Times New Roman"/><w:sz w:val="20"/><w:szCs w:val="20"/><w:spacing w:val="0"/></w:rPr><w:t xml:space="preserve"> nine months ended September 30, 2021, outstanding stock-based awards of </w:t></w:r></w:p><w:p><w:pPr><w:jc w:val="start"/></w:pPr><w:r><w:rPr><w:rFonts w:ascii="Times New Roman" w:hAnsi="Times New Roman" w:eastAsia="Times New Roman" w:cs="Times New Roman"/><w:sz w:val="20"/><w:szCs w:val="20"/></w:rPr><w:t xml:space="preserve">956,466</w:t></w:r></w:p><w:p><w:pPr><w:jc w:val="start"/></w:pPr><w:r><w:rPr><w:rFonts w:ascii="Times New Roman" w:hAnsi="Times New Roman" w:eastAsia="Times New Roman" w:cs="Times New Roman"/><w:sz w:val="20"/><w:szCs w:val="20"/><w:spacing w:val="0"/></w:rPr><w:t xml:space="preserve"> were excluded from the diluted EPS calculation. For the three months ended September 30, 2020, outstanding stock-based awards of </w:t></w:r></w:p><w:p><w:pPr><w:jc w:val="start"/></w:pPr><w:r><w:rPr><w:rFonts w:ascii="Times New Roman" w:hAnsi="Times New Roman" w:eastAsia="Times New Roman" w:cs="Times New Roman"/><w:sz w:val="20"/><w:szCs w:val="20"/></w:rPr><w:t xml:space="preserve">2,009,245</w:t></w:r></w:p><w:p><w:pPr><w:jc w:val="start"/></w:pPr><w:r><w:rPr><w:rFonts w:ascii="Times New Roman" w:hAnsi="Times New Roman" w:eastAsia="Times New Roman" w:cs="Times New Roman"/><w:sz w:val="20"/><w:szCs w:val="20"/><w:spacing w:val="0"/></w:rPr><w:t xml:space="preserve"> were excluded from the diluted EPS calculation. For the nine months ended September 30, 2020, the Company had a net loss. As such, </w:t></w:r></w:p><w:p><w:pPr><w:jc w:val="start"/></w:pPr><w:r><w:rPr><w:rFonts w:ascii="Times New Roman" w:hAnsi="Times New Roman" w:eastAsia="Times New Roman" w:cs="Times New Roman"/><w:sz w:val="20"/><w:szCs w:val="20"/></w:rPr><w:t xml:space="preserve">8,283,893</w:t></w:r></w:p><w:p><w:pPr><w:jc w:val="start"/></w:pPr><w:r><w:rPr><w:rFonts w:ascii="Times New Roman" w:hAnsi="Times New Roman" w:eastAsia="Times New Roman" w:cs="Times New Roman"/><w:sz w:val="20"/><w:szCs w:val="20"/><w:spacing w:val="0"/></w:rPr><w:t xml:space="preserve"> shares of potentially dilutive securities were excluded from the computation of diluted net loss per share as these securities had anti-dilutive effects and including them would reduce the net loss per share. Therefore, the weighted-average number of common shares outstanding used to calculate both basic and diluted net loss per share attributable to common stockholders was the same for this period.</w:t></w:r></w:p><w:p><w:pPr><w:jc w:val="start"/></w:pPr><w:r><w:rPr><w:rFonts w:ascii="&quot;Times New Roman&quot;" w:hAnsi="&quot;Times New Roman&quot;" w:eastAsia="&quot;Times New Roman&quot;" w:cs="&quot;Times New Roman&quot;"/><w:sz w:val="20"/><w:szCs w:val="20"/><w:b w:val="1"/><w:bCs w:val="1"/><w:spacing w:val="0"/></w:rPr><w:t xml:space="preserve">17. Leases </w:t></w:r></w:p><w:p><w:pPr><w:jc w:val="start"/></w:pPr><w:r><w:rPr><w:rFonts w:ascii="&quot;Times New Roman&quot;" w:hAnsi="&quot;Times New Roman&quot;" w:eastAsia="&quot;Times New Roman&quot;" w:cs="&quot;Times New Roman&quot;"/><w:sz w:val="20"/><w:szCs w:val="20"/><w:spacing w:val="0"/></w:rPr><w:t xml:space="preserve">As of December 31, 2020 and September 30, 2021, the Company’s contracts that contained a lease consisted primarily of real estate, equipment and vehicle leases. </w:t></w:r></w:p><w:p><w:pPr><w:jc w:val="start"/></w:pPr><w:r><w:rPr><w:rFonts w:ascii="&quot;Times New Roman&quot;" w:hAnsi="&quot;Times New Roman&quot;" w:eastAsia="&quot;Times New Roman&quot;" w:cs="&quot;Times New Roman&quot;"/><w:sz w:val="20"/><w:szCs w:val="20"/><w:spacing w:val="0"/></w:rPr><w:t xml:space="preserve">The Company leases real estate for office, lab and production space under noncancelable operating and finance leases that expire at various dates through 2031, subject to the Company’s options to terminate or renew certain leases for an additional </w:t></w:r></w:p><w:p><w:pPr><w:jc w:val="start"/></w:pPr><w:r><w:rPr><w:rFonts w:ascii="&quot;Times New Roman&quot;" w:hAnsi="&quot;Times New Roman&quot;" w:eastAsia="&quot;Times New Roman&quot;" w:cs="&quot;Times New Roman&quot;"/><w:sz w:val="20"/><w:szCs w:val="20"/><w:spacing w:val="0"/></w:rPr><w:t xml:space="preserve">five</w:t></w:r></w:p><w:p><w:pPr><w:jc w:val="start"/></w:pPr><w:r><w:rPr><w:rFonts w:ascii="&quot;Times New Roman&quot;" w:hAnsi="&quot;Times New Roman&quot;" w:eastAsia="&quot;Times New Roman&quot;" w:cs="&quot;Times New Roman&quot;"/><w:sz w:val="20"/><w:szCs w:val="20"/><w:spacing w:val="0"/></w:rPr><w:t xml:space="preserve"> to</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ten years. </w:t></w:r></w:p><w:p><w:pPr><w:jc w:val="start"/></w:pPr><w:r><w:rPr><w:rFonts w:ascii="&quot;Times New Roman&quot;" w:hAnsi="&quot;Times New Roman&quot;" w:eastAsia="&quot;Times New Roman&quot;" w:cs="&quot;Times New Roman&quot;"/><w:sz w:val="20"/><w:szCs w:val="20"/><w:spacing w:val="0"/></w:rPr><w:t xml:space="preserve">The Company leases vehicles under operating leases for certain employees and has fleet services agreements for service on these vehicles. The minimum lease term for each newly leased vehicle is 367 days with renewal options. The Company may terminate the vehicle lease after the minimum lease term upon thirty days’ prior notice. </w:t></w:r></w:p><w:p><w:pPr><w:jc w:val="start"/></w:pPr><w:r><w:rPr><w:rFonts w:ascii="&quot;Times New Roman&quot;" w:hAnsi="&quot;Times New Roman&quot;" w:eastAsia="&quot;Times New Roman&quot;" w:cs="&quot;Times New Roman&quot;"/><w:sz w:val="20"/><w:szCs w:val="20"/><w:spacing w:val="0"/></w:rPr><w:t xml:space="preserve">The Company also leases other equipment under noncancelable operating and finance leases that expire at various dates through 2025. </w:t></w:r></w:p><w:p><w:pPr><w:jc w:val="start"/></w:pPr><w:r><w:rPr><w:rFonts w:ascii="Times New Roman" w:hAnsi="Times New Roman" w:eastAsia="Times New Roman" w:cs="Times New Roman"/><w:sz w:val="20"/><w:szCs w:val="20"/></w:rPr><w:t xml:space="preserve">The Company determines if an arrangement is a lease at lease inception. The options to extend or terminate a lease are included in the lease terms when it is reasonably certain that the Company will exercise the options. Operating leases are included in operating </w:t></w:r></w:p><w:p><w:pPr><w:jc w:val="start"/></w:pPr><w:r><w:rPr><w:rFonts w:ascii="Times New Roman" w:hAnsi="Times New Roman" w:eastAsia="Times New Roman" w:cs="Times New Roman"/><w:sz w:val="20"/><w:szCs w:val="20"/><w:spacing w:val="0"/></w:rPr><w:t xml:space="preserve">lease right-of-use assets</w:t></w:r></w:p><w:p><w:pPr><w:jc w:val="start"/></w:pPr><w:r><w:rPr><w:rFonts w:ascii="Times New Roman" w:hAnsi="Times New Roman" w:eastAsia="Times New Roman" w:cs="Times New Roman"/><w:sz w:val="20"/><w:szCs w:val="20"/></w:rPr><w:t xml:space="preserve"> and operating lease obligations on the consolidated balance sheets. Finance </w:t></w:r></w:p><w:p><w:pPr><w:jc w:val="start"/></w:pPr><w:r><w:rPr><w:rFonts w:ascii="Times New Roman" w:hAnsi="Times New Roman" w:eastAsia="Times New Roman" w:cs="Times New Roman"/><w:sz w:val="20"/><w:szCs w:val="20"/><w:spacing w:val="0"/></w:rPr><w:t xml:space="preserve">lease right-of-use assets</w:t></w:r></w:p><w:p><w:pPr><w:jc w:val="start"/></w:pPr><w:r><w:rPr><w:rFonts w:ascii="Times New Roman" w:hAnsi="Times New Roman" w:eastAsia="Times New Roman" w:cs="Times New Roman"/><w:sz w:val="20"/><w:szCs w:val="20"/></w:rPr><w:t xml:space="preserve"> are included in property and equipment, net, and the related liabilities are included in finance lease obligations on the consolidated balance sheets. </w:t></w:r></w:p><w:p><w:pPr><w:jc w:val="start"/></w:pPr><w:r><w:rPr><w:rFonts w:ascii="Times New Roman" w:hAnsi="Times New Roman" w:eastAsia="Times New Roman" w:cs="Times New Roman"/><w:sz w:val="20"/><w:szCs w:val="20"/><w:spacing w:val="0"/></w:rPr><w:t xml:space="preserve">Right-of-use assets</w:t></w:r></w:p><w:p><w:pPr><w:jc w:val="start"/></w:pPr><w:r><w:rPr><w:rFonts w:ascii="Times New Roman" w:hAnsi="Times New Roman" w:eastAsia="Times New Roman" w:cs="Times New Roman"/><w:sz w:val="20"/><w:szCs w:val="20"/><w:spacing w:val="0"/></w:rPr><w:t xml:space="preserve"> represent the Company’s right to use an underlying asset for the lease term and lease liabilities represent the Company’s obligation to make lease payments arising from the </w:t></w:r></w:p><w:p><w:pPr><w:jc w:val="start"/></w:pPr><w:r><w:rPr><w:rFonts w:ascii="Times New Roman" w:hAnsi="Times New Roman" w:eastAsia="Times New Roman" w:cs="Times New Roman"/><w:sz w:val="20"/><w:szCs w:val="20"/><w:spacing w:val="0"/></w:rPr><w:t xml:space="preserve">leases. Right-of-use assets</w:t></w:r></w:p><w:p><w:pPr><w:jc w:val="start"/></w:pPr><w:r><w:rPr><w:rFonts w:ascii="Times New Roman" w:hAnsi="Times New Roman" w:eastAsia="Times New Roman" w:cs="Times New Roman"/><w:sz w:val="20"/><w:szCs w:val="20"/><w:spacing w:val="0"/></w:rPr><w:t xml:space="preserve"> and le</w:t></w:r></w:p><w:p><w:pPr><w:jc w:val="start"/></w:pPr><w:r><w:rPr><w:rFonts w:ascii="Times New Roman" w:hAnsi="Times New Roman" w:eastAsia="Times New Roman" w:cs="Times New Roman"/><w:sz w:val="20"/><w:szCs w:val="20"/><w:spacing w:val="0"/></w:rPr><w:t xml:space="preserve">a</w:t></w:r></w:p><w:p><w:pPr><w:jc w:val="start"/></w:pPr><w:r><w:rPr><w:rFonts w:ascii="Times New Roman" w:hAnsi="Times New Roman" w:eastAsia="Times New Roman" w:cs="Times New Roman"/><w:sz w:val="20"/><w:szCs w:val="20"/><w:spacing w:val="0"/></w:rPr><w:t xml:space="preserve">se liabilities are recognized based on the present value of the fixed lease payments over the lease term at the commencement date. </w:t></w:r></w:p><w:p><w:pPr><w:jc w:val="start"/></w:pPr><w:r><w:rPr><w:rFonts w:ascii="Times New Roman" w:hAnsi="Times New Roman" w:eastAsia="Times New Roman" w:cs="Times New Roman"/><w:sz w:val="20"/><w:szCs w:val="20"/><w:spacing w:val="0"/></w:rPr><w:t xml:space="preserve">The right-of-use assets</w:t></w:r></w:p><w:p><w:pPr><w:jc w:val="start"/></w:pPr><w:r><w:rPr><w:rFonts w:ascii="Times New Roman" w:hAnsi="Times New Roman" w:eastAsia="Times New Roman" w:cs="Times New Roman"/><w:sz w:val="20"/><w:szCs w:val="20"/><w:spacing w:val="0"/></w:rPr><w:t xml:space="preserve"> also include any initial direct costs incurred and lease payments </w:t></w:r></w:p><w:p><w:pPr><w:jc w:val="start"/></w:pPr><w:r><w:rPr><w:spacing w:val="0"/></w:rPr><w:t xml:space="preserv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20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made at or before the commencement date and are reduced by lease incentives. The Company uses its incremental borrowing rate as the discount rate to determine the present value of the lease payments for leases that do not have a readily determinable implicit discount rate. The Company’s incremental borrowing rate is the rate of interest that it would have to borrow on a collateralized basis over a similar term and amount in a similar economic environment. The Company determines the incremental borrowing rates for its leases by adjusting the risk-free interest rate with a credit risk premium corresponding to the Company’s credit rating. </w:t></w:r></w:p><w:p><w:pPr><w:jc w:val="start"/></w:pPr><w:r><w:rPr><w:rFonts w:ascii="&quot;Times New Roman&quot;" w:hAnsi="&quot;Times New Roman&quot;" w:eastAsia="&quot;Times New Roman&quot;" w:cs="&quot;Times New Roman&quot;"/><w:sz w:val="20"/><w:szCs w:val="20"/></w:rPr><w:t xml:space="preserve">The Company records rent expense for its operating leases on a straight-line basis from the lease commencement date until the end of the lease term. The Company records finance lease cost as a combination of the depreciation expense for </w:t></w:r></w:p><w:p><w:pPr><w:jc w:val="start"/></w:pPr><w:r><w:rPr><w:rFonts w:ascii="&quot;Times New Roman&quot;" w:hAnsi="&quot;Times New Roman&quot;" w:eastAsia="&quot;Times New Roman&quot;" w:cs="&quot;Times New Roman&quot;"/><w:sz w:val="20"/><w:szCs w:val="20"/><w:spacing w:val="0"/></w:rPr><w:t xml:space="preserve">the right-of-use assets</w:t></w:r></w:p><w:p><w:pPr><w:jc w:val="start"/></w:pPr><w:r><w:rPr><w:rFonts w:ascii="&quot;Times New Roman&quot;" w:hAnsi="&quot;Times New Roman&quot;" w:eastAsia="&quot;Times New Roman&quot;" w:cs="&quot;Times New Roman&quot;"/><w:sz w:val="20"/><w:szCs w:val="20"/></w:rPr><w:t xml:space="preserve"> and interest expense for the outstanding lease liabilities using the discount rate discussed above. Variable lease payments are primarily related to the office and fleet leases which include but are not limited to taxes, insurance, common area maintenance and maintenance programs for leased vehicles. Variable lease payments are based on the occurrence or usage; therefore, they are not included as part of the </w:t></w:r></w:p><w:p><w:pPr><w:jc w:val="start"/></w:pPr><w:r><w:rPr><w:rFonts w:ascii="&quot;Times New Roman&quot;" w:hAnsi="&quot;Times New Roman&quot;" w:eastAsia="&quot;Times New Roman&quot;" w:cs="&quot;Times New Roman&quot;"/><w:sz w:val="20"/><w:szCs w:val="20"/><w:spacing w:val="0"/></w:rPr><w:t xml:space="preserve">initial right-of-use assets</w:t></w:r></w:p><w:p><w:pPr><w:jc w:val="start"/></w:pPr><w:r><w:rPr><w:rFonts w:ascii="&quot;Times New Roman&quot;" w:hAnsi="&quot;Times New Roman&quot;" w:eastAsia="&quot;Times New Roman&quot;" w:cs="&quot;Times New Roman&quot;"/><w:sz w:val="20"/><w:szCs w:val="20"/></w:rPr><w:t xml:space="preserve"> and liabilities calculation. </w:t></w:r></w:p><w:p><w:pPr><w:jc w:val="start"/></w:pPr><w:r><w:rPr><w:rFonts w:ascii="&quot;Times New Roman&quot;" w:hAnsi="&quot;Times New Roman&quot;" w:eastAsia="&quot;Times New Roman&quot;" w:cs="&quot;Times New Roman&quot;"/><w:sz w:val="20"/><w:szCs w:val="20"/><w:spacing w:val="0"/></w:rPr><w:t xml:space="preserve">In August 2020, the Company entered into a lease for approximately 23,000 square feet in San Diego, California for office and laboratory use. The lease commenced on April 1, 2021. The initial lease term is ten years from the lease commencement date, with an option to extend the term for a period of five years. Annual lease payments during the first year are $1,562 with a 3% increase each year during the lease term. A security deposit of $237 is required throughout the term of the lease. </w:t></w:r></w:p><w:p><w:pPr><w:jc w:val="start"/></w:pPr><w:r><w:rPr><w:rFonts w:ascii="&quot;Times New Roman&quot;" w:hAnsi="&quot;Times New Roman&quot;" w:eastAsia="&quot;Times New Roman&quot;" w:cs="&quot;Times New Roman&quot;"/><w:sz w:val="20"/><w:szCs w:val="20"/><w:spacing w:val="0"/></w:rPr><w:t xml:space="preserve">On January 1, 2013, the Company entered into finance lease arrangements with 65 Dan Road SPE, LLC, 85 Dan Road Associates, LLC, Dan Road Equity I, LLC and 275 Dan Road SPE, LLC for office and laboratory space in Canton, Massachusetts. 65 Dan Road SPE, LLC, 85 Dan Road Associates, LLC, Dan Road Equity I, LLC and 275 Dan Road SPE, LLC are related parties as the owners of these entities are also stockholders of the Company. The leases terminate on December 31, 2022 and each contains a renewal option for a five-year period with the rental rate at the greater of</w:t></w:r></w:p><w:p/><w:p><w:pPr><w:jc w:val="start"/></w:pPr><w:r><w:rPr><w:rFonts w:ascii="&quot;Times New Roman&quot;" w:hAnsi="&quot;Times New Roman&quot;" w:eastAsia="&quot;Times New Roman&quot;" w:cs="&quot;Times New Roman&quot;"/><w:sz w:val="20"/><w:szCs w:val="20"/><w:spacing w:val="0"/></w:rPr><w:t xml:space="preserve"> (i) rent for the last year of the prior term, or (ii) the then fair market value. Notice of the exercise of this renewal option is due one year prior to the expiration of the initial term. Excluding the lease with 275 Dan Road SPE, LLC which was terminated in August 2021 discussed below, aggregate annual lease payments are approximately $</w:t></w:r></w:p><w:p><w:pPr><w:jc w:val="start"/></w:pPr><w:r><w:rPr><w:rFonts w:ascii="&quot;Times New Roman&quot;" w:hAnsi="&quot;Times New Roman&quot;" w:eastAsia="&quot;Times New Roman&quot;" w:cs="&quot;Times New Roman&quot;"/><w:sz w:val="20"/><w:szCs w:val="20"/><w:spacing w:val="0"/></w:rPr><w:t xml:space="preserve">3,098 with future rent increases of 10% effective January 1, 2022. </w:t></w:r></w:p><w:p><w:pPr><w:jc w:val="start"/></w:pPr><w:r><w:rPr><w:rFonts w:ascii="&quot;Times New Roman&quot;" w:hAnsi="&quot;Times New Roman&quot;" w:eastAsia="&quot;Times New Roman&quot;" w:cs="&quot;Times New Roman&quot;"/><w:sz w:val="20"/><w:szCs w:val="20"/><w:spacing w:val="0"/></w:rPr><w:t xml:space="preserve">As of September 30, 2021 and December 31, 2020, the Company owed an aggregate of $10,336 </w:t></w:r></w:p><w:p><w:pPr><w:jc w:val="start"/></w:pPr><w:r><w:rPr><w:rFonts w:ascii="&quot;Times New Roman&quot;" w:hAnsi="&quot;Times New Roman&quot;" w:eastAsia="&quot;Times New Roman&quot;" w:cs="&quot;Times New Roman&quot;"/><w:sz w:val="20"/><w:szCs w:val="20"/><w:spacing w:val="0"/></w:rPr><w:t xml:space="preserve">of accrued but unpaid lease obligations that include rent in arrears and unpaid operating and common area maintenance costs under the aforementioned leases. Effective April 1, 2019, the Company agreed to accrue interest on the accrued but unpaid lease obligations at an interest rate equal to the rate charged in the 2019 Credit Agreement. These accrued but unpaid lease obligations as well as the accrued interest on these obligations were subordinated to the 2019 Credit Agreement. With the termination of the 2019 Credit Agreement and the execution of the 2021 Credit Agreement (see Note “13. Long-Term Debt Obligations”) in August 2021, these obligations are no longer subordinated to the Company’s existing loans.</w:t></w:r></w:p><w:p><w:pPr><w:jc w:val="start"/></w:pPr><w:r><w:rPr><w:rFonts w:ascii="&quot;Times New Roman&quot;" w:hAnsi="&quot;Times New Roman&quot;" w:eastAsia="&quot;Times New Roman&quot;" w:cs="&quot;Times New Roman&quot;"/><w:sz w:val="20"/><w:szCs w:val="20"/><w:spacing w:val="0"/></w:rPr><w:t xml:space="preserve">In August 2021, the Company purchased the building (the “275 Dan Road Building”) under the lease with 275 Dan Road SPE, LLC for $6,013 </w:t></w:r></w:p><w:p><w:pPr><w:jc w:val="start"/></w:pPr><w:r><w:rPr><w:rFonts w:ascii="&quot;Times New Roman&quot;" w:hAnsi="&quot;Times New Roman&quot;" w:eastAsia="&quot;Times New Roman&quot;" w:cs="&quot;Times New Roman&quot;"/><w:sz w:val="20"/><w:szCs w:val="20"/><w:spacing w:val="0"/></w:rPr><w:t xml:space="preserve">and the lease was terminated. The Company recorded an asset of $4,943 to buildings within fixed asset, net</w:t></w:r></w:p><w:p><w:pPr><w:jc w:val="start"/></w:pPr><w:r><w:rPr><w:rFonts w:ascii="&quot;Times New Roman&quot;" w:hAnsi="&quot;Times New Roman&quot;" w:eastAsia="&quot;Times New Roman&quot;" w:cs="&quot;Times New Roman&quot;"/><w:sz w:val="20"/><w:szCs w:val="20"/><w:spacing w:val="0"/></w:rPr><w:t xml:space="preserve"> in accordance with ASC 842-20-40-2 </w:t></w:r></w:p><w:p><w:pPr><w:jc w:val="start"/></w:pPr><w:r><w:rPr><w:rFonts w:ascii="Times New Roman" w:hAnsi="Times New Roman" w:eastAsia="Times New Roman" w:cs="Times New Roman"/><w:sz w:val="20"/><w:szCs w:val="20"/><w:i w:val="1"/><w:iCs w:val="1"/><w:spacing w:val="0"/></w:rPr><w:t xml:space="preserve">Purchase of the Underlying Asset </w:t></w:r></w:p><w:p><w:pPr><w:jc w:val="start"/></w:pPr><w:r><w:rPr><w:rFonts w:ascii="Times New Roman" w:hAnsi="Times New Roman" w:eastAsia="Times New Roman" w:cs="Times New Roman"/><w:sz w:val="20"/><w:szCs w:val="20"/><w:spacing w:val="0"/></w:rPr><w:t xml:space="preserve">to account </w:t></w:r></w:p><w:p><w:pPr><w:jc w:val="start"/></w:pPr><w:r><w:rPr><w:rFonts w:ascii="&quot;Times New Roman&quot;" w:hAnsi="&quot;Times New Roman&quot;" w:eastAsia="&quot;Times New Roman&quot;" w:cs="&quot;Times New Roman&quot;"/><w:sz w:val="20"/><w:szCs w:val="20"/><w:spacing w:val="0"/></w:rPr><w:t xml:space="preserve"> for the purchase of the leased asset</w:t></w:r></w:p><w:p><w:pPr><w:jc w:val="start"/></w:pPr><w:r><w:rPr><w:rFonts w:ascii="&quot;Times New Roman&quot;" w:hAnsi="&quot;Times New Roman&quot;" w:eastAsia="&quot;Times New Roman&quot;" w:cs="&quot;Times New Roman&quot;"/><w:sz w:val="20"/><w:szCs w:val="20"/><w:spacing w:val="0"/></w:rPr><w:t xml:space="preserve">. The asset value includes $408 net book value of the right of use asset removed from leasehold improvement and the difference of $4,535 between the cash paid and the lease liability extinguished. In connection with the purchase of the 275 Dan Road Building, the Company is required to pay</w:t></w:r></w:p><w:p><w:pPr><w:jc w:val="start"/></w:pPr><w:r><w:rPr><w:rFonts w:ascii="&quot;Times New Roman&quot;" w:hAnsi="&quot;Times New Roman&quot;" w:eastAsia="&quot;Times New Roman&quot;" w:cs="&quot;Times New Roman&quot;"/><w:sz w:val="20"/><w:szCs w:val="20"/><w:spacing w:val="0"/></w:rPr><w:t xml:space="preserve"> 50% of the accrued but unpaid lease obligations associated with this building and the accrued interest thereof within 90 days after the closing of this transaction, with the remaining balance to be paid in five installments on January 4, 2022, April 1, 2022, July 1, 2022, October 3, 2022 and January 3, 2023. The interest on the balance of the accrued but unpaid lease obligations associated with the 275 Dan Road Building was reduced to an annual simple rate of 4.5%. </w:t></w:r></w:p><w:p><w:pPr><w:jc w:val="start"/></w:pPr><w:r><w:rPr><w:rFonts w:ascii="&quot;Times New Roman&quot;" w:hAnsi="&quot;Times New Roman&quot;" w:eastAsia="&quot;Times New Roman&quot;" w:cs="&quot;Times New Roman&quot;"/><w:sz w:val="20"/><w:szCs w:val="20"/><w:spacing w:val="0"/></w:rPr><w:t xml:space="preserve">The principal portion of rent in arrears totaled $7,393 and $6,946 </w:t></w:r></w:p><w:p><w:pPr><w:jc w:val="start"/></w:pPr><w:r><w:rPr><w:rFonts w:ascii="&quot;Times New Roman&quot;" w:hAnsi="&quot;Times New Roman&quot;" w:eastAsia="&quot;Times New Roman&quot;" w:cs="&quot;Times New Roman&quot;"/><w:sz w:val="20"/><w:szCs w:val="20"/><w:spacing w:val="0"/></w:rPr><w:t xml:space="preserve">as of September 30, 2021 and December 31, 2020, respectively. This liability was included in the short-term portion of finance lease obligations other than the balance related to the 275 Dan Road Building that was primarily included in accrued expenses and other current liabilities on the consolidated balance sheet. The interest portion of rent in arrears totaled</w:t></w:r></w:p><w:p><w:pPr><w:jc w:val="start"/></w:pPr><w:r><w:rPr><w:rFonts w:ascii="&quot;Times New Roman&quot;" w:hAnsi="&quot;Times New Roman&quot;" w:eastAsia="&quot;Times New Roman&quot;" w:cs="&quot;Times New Roman&quot;"/><w:sz w:val="20"/><w:szCs w:val="20"/><w:spacing w:val="0"/></w:rPr><w:t xml:space="preserve"> $2,384 and $2,865 as of September 30, 2021 and December 31, 2020, respectively. The unpaid operating and common area maintenance costs totaled $558 and $525 as of September 30, 2021 and December 31, 2020, respectively. The accrued interest on the accrued but unpaid lease obligations totaled $2,357 and $1,673 as of September 30, 2021 and December 31, 2020, respectively. The above-mentioned mentioned liabilities were included in accrued expenses and other current liabilities and other liabilities on the consolidated balance sheet.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w:t></w:r></w:p><w:p><w:pPr><w:jc w:val="center"/></w:pPr><w:r><w:rPr><w:rFonts w:ascii="&quot;Times New Roman&quot;" w:hAnsi="&quot;Times New Roman&quot;" w:eastAsia="&quot;Times New Roman&quot;" w:cs="&quot;Times New Roman&quot;"/><w:sz w:val="20"/><w:szCs w:val="20"/><w:spacing w:val="0"/></w:rPr><w:t xml:space="preserve">1</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spacing w:val="0"/></w:rPr><w:t xml:space="preserve">The components of lease cost were as follows:</w:t></w:r></w:p><w:p><w:pPr><w:jc w:val="start"/></w:pPr><w:r><w:rPr><w:sz w:val="24"/><w:szCs w:val="24"/><w:spacing w:val="0"/></w:rPr><w:t xml:space="preserve"> </w:t></w:r></w:p><w:tbl><w:tblGrid><w:gridCol w:w="2750" w:type="dxa"/><w:gridCol w:w="250" w:type="dxa"/><w:gridCol w:w="4200" w:type="dxa"/><w:gridCol w:w="4200" w:type="dxa"/><w:gridCol w:w="4200" w:type="dxa"/><w:gridCol w:w="250" w:type="dxa"/><w:gridCol w:w="4200" w:type="dxa"/><w:gridCol w:w="4200" w:type="dxa"/><w:gridCol w:w="4200" w:type="dxa"/><w:gridCol w:w="250" w:type="dxa"/><w:gridCol w:w="4200" w:type="dxa"/><w:gridCol w:w="4200" w:type="dxa"/><w:gridCol w:w="4200" w:type="dxa"/></w:tblGrid><w:tblPr><w:tblW w:w="4200" w:type="pct"/><w:tblCellSpacing w:w="0" w:type="dxa"/><w:tblLayout w:type="autofit"/></w:tblPr><w:tr><w:trPr/><w:tc><w:tcPr><w:tcW w:w="2750" w:type="pct"/><w:noWrap/></w:tcPr><w:p><w:pPr/></w:p></w:tc><w:tc><w:tcPr><w:tcW w:w="250" w:type="pct"/><w:vAlign w:val="bottom"/><w:noWrap/></w:tcPr><w:p><w:pPr/></w:p></w:tc><w:tc><w:tcPr><w:tcW w:w="4200" w:type="pct"/><w:noWrap/></w:tcPr><w:p><w:pPr/></w:p></w:tc><w:tc><w:tcPr><w:tcW w:w="4200" w:type="pct"/><w:noWrap/></w:tcPr><w:p><w:pPr/></w:p></w:tc><w:tc><w:tcPr><w:tcW w:w="4200" w:type="pct"/><w:noWrap/></w:tcPr><w:p><w:pPr/></w:p></w:tc><w:tc><w:tcPr><w:tcW w:w="250" w:type="pct"/><w:vAlign w:val="bottom"/><w:noWrap/></w:tcPr><w:p><w:pPr/></w:p></w:tc><w:tc><w:tcPr><w:tcW w:w="4200" w:type="pct"/><w:noWrap/></w:tcPr><w:p><w:pPr/></w:p></w:tc><w:tc><w:tcPr><w:tcW w:w="4200" w:type="pct"/><w:noWrap/></w:tcPr><w:p><w:pPr/></w:p></w:tc><w:tc><w:tcPr><w:tcW w:w="4200" w:type="pct"/><w:noWrap/></w:tcPr><w:p><w:pPr/></w:p></w:tc><w:tc><w:tcPr><w:tcW w:w="250" w:type="pct"/><w:vAlign w:val="bottom"/><w:noWrap/></w:tcPr><w:p><w:pPr/></w:p></w:tc><w:tc><w:tcPr><w:tcW w:w="4200" w:type="pct"/><w:noWrap/></w:tcPr><w:p><w:pPr/></w:p></w:tc><w:tc><w:tcPr><w:tcW w:w="4200" w:type="pct"/><w:noWrap/></w:tcPr><w:p><w:pPr/></w:p></w:tc><w:tc><w:tcPr><w:tcW w:w="4200" w:type="pct"/><w:noWrap/></w:tcPr><w:p><w:pPr/></w:p></w:tc></w:tr><w:tr><w:trPr/><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Classification</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Three Months</w:t></w:r><w:br/><w:r><w:rPr><w:rFonts w:ascii="Times New Roman" w:hAnsi="Times New Roman" w:eastAsia="Times New Roman" w:cs="Times New Roman"/><w:sz w:val="16"/><w:szCs w:val="16"/><w:b w:val="1"/><w:bCs w:val="1"/><w:spacing w:val="0"/></w:rPr><w:t xml:space="preserve"> Ended</w:t></w:r><w:br/><w:r><w:rPr><w:rFonts w:ascii="Times New Roman" w:hAnsi="Times New Roman" w:eastAsia="Times New Roman" w:cs="Times New Roman"/><w:sz w:val="16"/><w:szCs w:val="16"/><w:b w:val="1"/><w:bCs w:val="1"/><w:spacing w:val="0"/></w:rPr><w:t xml:space="preserve">September 30,</w:t></w:r><w:br/><w:r><w:rPr><w:rFonts w:ascii="Times New Roman" w:hAnsi="Times New Roman" w:eastAsia="Times New Roman" w:cs="Times New Roman"/><w:sz w:val="16"/><w:szCs w:val="16"/><w:b w:val="1"/><w:bCs w:val="1"/><w:spacing w:val="0"/></w:rPr><w:t xml:space="preserve"> 2021</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noWrap/></w:tcPr><w:p><w:pPr/><w:r><w:rPr><w:rFonts w:ascii="Times New Roman" w:hAnsi="Times New Roman" w:eastAsia="Times New Roman" w:cs="Times New Roman"/><w:sz w:val="16"/><w:szCs w:val="16"/><w:spacing w:val="0"/></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Nine Months</w:t></w:r><w:br/><w:r><w:rPr><w:rFonts w:ascii="Times New Roman" w:hAnsi="Times New Roman" w:eastAsia="Times New Roman" w:cs="Times New Roman"/><w:sz w:val="16"/><w:szCs w:val="16"/><w:b w:val="1"/><w:bCs w:val="1"/><w:spacing w:val="0"/></w:rPr><w:t xml:space="preserve"> Ended</w:t></w:r><w:br/><w:r><w:rPr><w:rFonts w:ascii="Times New Roman" w:hAnsi="Times New Roman" w:eastAsia="Times New Roman" w:cs="Times New Roman"/><w:sz w:val="16"/><w:szCs w:val="16"/><w:b w:val="1"/><w:bCs w:val="1"/><w:spacing w:val="0"/></w:rPr><w:t xml:space="preserve">September 30,</w:t></w:r><w:br/><w:r><w:rPr><w:rFonts w:ascii="Times New Roman" w:hAnsi="Times New Roman" w:eastAsia="Times New Roman" w:cs="Times New Roman"/><w:sz w:val="16"/><w:szCs w:val="16"/><w:b w:val="1"/><w:bCs w:val="1"/><w:spacing w:val="0"/></w:rPr><w:t xml:space="preserve"> 2021</w:t></w:r></w:p></w:tc><w:tc><w:tcPr><w:tcW w:w="4200" w:type="pct"/><w:vAlign w:val="bottom"/><w:noWrap/></w:tcPr><w:p><w:pPr/><w:r><w:rPr><w:rFonts w:ascii="Times New Roman" w:hAnsi="Times New Roman" w:eastAsia="Times New Roman" w:cs="Times New Roman"/><w:sz w:val="16"/><w:szCs w:val="16"/><w:spacing w:val="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Finance lease</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rPr><w:t xml:space="preserve">Amortization of </w:t></w:r><w:r><w:rPr><w:rFonts w:ascii="&quot;Times New Roman&quot;" w:hAnsi="&quot;Times New Roman&quot;" w:eastAsia="&quot;Times New Roman&quot;" w:cs="&quot;Times New Roman&quot;"/><w:sz w:val="20"/><w:szCs w:val="20"/><w:spacing w:val="0"/></w:rPr><w:t xml:space="preserve">right-of-use</w:t></w:r><w:r><w:rPr><w:rFonts w:ascii="&quot;Times New Roman&quot;" w:hAnsi="&quot;Times New Roman&quot;" w:eastAsia="&quot;Times New Roman&quot;" w:cs="&quot;Times New Roman&quot;"/><w:sz w:val="20"/><w:szCs w:val="20"/></w:rPr><w:t xml:space="preserve"> assets</w:t></w:r></w:p></w:tc><w:tc><w:tcPr><w:tcW w:w="25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COGS and SG&A</w:t></w:r></w:p></w:tc><w:tc><w:tcPr><w:tcW w:w="42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w:t></w:r></w:p></w:tc><w:tc><w:tcPr><w:tcW w:w="4200" w:type="pct"/><w:vAlign w:val="bottom"/><w:noWrap/></w:tcPr><w:p><w:pPr><w:jc w:val="end"/></w:pPr><w:r><w:rPr><w:rFonts w:ascii="Times New Roman" w:hAnsi="Times New Roman" w:eastAsia="Times New Roman" w:cs="Times New Roman"/><w:sz w:val="20"/><w:szCs w:val="20"/></w:rPr><w:t xml:space="preserve">793</w:t></w:r></w:p></w:tc><w:tc><w:tcPr><w:tcW w:w="42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w:t></w:r></w:p></w:tc><w:tc><w:tcPr><w:tcW w:w="4200" w:type="pct"/><w:vAlign w:val="bottom"/><w:noWrap/></w:tcPr><w:p><w:pPr><w:jc w:val="end"/></w:pPr><w:r><w:rPr><w:rFonts w:ascii="Times New Roman" w:hAnsi="Times New Roman" w:eastAsia="Times New Roman" w:cs="Times New Roman"/><w:sz w:val="20"/><w:szCs w:val="20"/></w:rPr><w:t xml:space="preserve">1,396</w:t></w:r></w:p></w:tc><w:tc><w:tcPr><w:tcW w:w="4200" w:type="pct"/><w:vAlign w:val="bottom"/><w:noWrap/></w:tcPr><w:p><w:pPr/><w:r><w:rPr><w:rFonts w:ascii="Times New Roman" w:hAnsi="Times New Roman" w:eastAsia="Times New Roman" w:cs="Times New Roman"/><w:sz w:val="20"/><w:szCs w:val="2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Interest on lease liabilities</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Interest Expense</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218</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879</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Total Finance lease cost</w:t></w:r></w:p></w:tc><w:tc><w:tcPr><w:tcW w:w="25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quot;Times New Roman&quot;" w:hAnsi="&quot;Times New Roman&quot;" w:eastAsia="&quot;Times New Roman&quot;" w:cs="&quot;Times New Roman&quot;"/><w:sz w:val="20"/><w:szCs w:val="20"/></w:rPr><w:t xml:space="preserve"> </w:t></w:r></w:p></w:tc><w:tc><w:tcPr><w:tcW w:w="4200" w:type="pct"/><w:vAlign w:val="bottom"/><w:noWrap/></w:tcPr><w:p><w:pPr/><w:r><w:rPr><w:rFonts w:ascii="&quot;Times New Roman&quot;" w:hAnsi="&quot;Times New Roman&quot;" w:eastAsia="&quot;Times New Roman&quot;" w:cs="&quot;Times New Roman&quot;"/><w:sz w:val="20"/><w:szCs w:val="20"/></w:rPr><w:t xml:space="preserve"> </w:t></w:r></w:p></w:tc><w:tc><w:tcPr><w:tcW w:w="4200" w:type="pct"/><w:vAlign w:val="bottom"/><w:noWrap/></w:tcPr><w:p><w:pPr/><w:r><w:rPr><w:rFonts w:ascii="&quot;Times New Roman&quot;" w:hAnsi="&quot;Times New Roman&quot;" w:eastAsia="&quot;Times New Roman&quot;" w:cs="&quot;Times New Roman&quot;"/><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1,011</w:t></w:r></w:p></w:tc><w:tc><w:tcPr><w:tcW w:w="42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2,275</w:t></w:r></w:p></w:tc><w:tc><w:tcPr><w:tcW w:w="4200" w:type="pct"/><w:vAlign w:val="bottom"/><w:noWrap/></w:tcPr><w:p><w:pPr/><w:r><w:rPr><w:rFonts w:ascii="Times New Roman" w:hAnsi="Times New Roman" w:eastAsia="Times New Roman" w:cs="Times New Roman"/><w:sz w:val="20"/><w:szCs w:val="2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Operating lease cost</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COGS, R&D, SG&A</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1,857</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4,872</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Short-term lease cost</w:t></w:r></w:p></w:tc><w:tc><w:tcPr><w:tcW w:w="25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COGS, R&D, SG&A</w:t></w:r></w:p></w:tc><w:tc><w:tcPr><w:tcW w:w="42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758</w:t></w:r></w:p></w:tc><w:tc><w:tcPr><w:tcW w:w="42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2,172</w:t></w:r></w:p></w:tc><w:tc><w:tcPr><w:tcW w:w="4200" w:type="pct"/><w:vAlign w:val="bottom"/><w:noWrap/></w:tcPr><w:p><w:pPr/><w:r><w:rPr><w:rFonts w:ascii="Times New Roman" w:hAnsi="Times New Roman" w:eastAsia="Times New Roman" w:cs="Times New Roman"/><w:sz w:val="20"/><w:szCs w:val="2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Variable lease cost</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COGS, R&D, SG&A</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1,304</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3,753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Total lease cost</w:t></w:r></w:p></w:tc><w:tc><w:tcPr><w:tcW w:w="25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quot;Times New Roman&quot;" w:hAnsi="&quot;Times New Roman&quot;" w:eastAsia="&quot;Times New Roman&quot;" w:cs="&quot;Times New Roman&quot;"/><w:sz w:val="20"/><w:szCs w:val="20"/></w:rPr><w:t xml:space="preserve"> </w:t></w:r></w:p></w:tc><w:tc><w:tcPr><w:tcW w:w="4200" w:type="pct"/><w:vAlign w:val="bottom"/><w:noWrap/></w:tcPr><w:p><w:pPr/><w:r><w:rPr><w:rFonts w:ascii="&quot;Times New Roman&quot;" w:hAnsi="&quot;Times New Roman&quot;" w:eastAsia="&quot;Times New Roman&quot;" w:cs="&quot;Times New Roman&quot;"/><w:sz w:val="20"/><w:szCs w:val="20"/></w:rPr><w:t xml:space="preserve"> </w:t></w:r></w:p></w:tc><w:tc><w:tcPr><w:tcW w:w="4200" w:type="pct"/><w:vAlign w:val="bottom"/><w:noWrap/></w:tcPr><w:p><w:pPr/><w:r><w:rPr><w:rFonts w:ascii="&quot;Times New Roman&quot;" w:hAnsi="&quot;Times New Roman&quot;" w:eastAsia="&quot;Times New Roman&quot;" w:cs="&quot;Times New Roman&quot;"/><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w:t></w:r></w:p></w:tc><w:tc><w:tcPr><w:tcW w:w="4200" w:type="pct"/><w:vAlign w:val="bottom"/><w:noWrap/></w:tcPr><w:p><w:pPr><w:jc w:val="end"/></w:pPr><w:r><w:rPr><w:rFonts w:ascii="Times New Roman" w:hAnsi="Times New Roman" w:eastAsia="Times New Roman" w:cs="Times New Roman"/><w:sz w:val="20"/><w:szCs w:val="20"/></w:rPr><w:t xml:space="preserve">4,930</w:t></w:r></w:p></w:tc><w:tc><w:tcPr><w:tcW w:w="42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w:t></w:r></w:p></w:tc><w:tc><w:tcPr><w:tcW w:w="4200" w:type="pct"/><w:vAlign w:val="bottom"/><w:noWrap/></w:tcPr><w:p><w:pPr><w:jc w:val="end"/></w:pPr><w:r><w:rPr><w:rFonts w:ascii="Times New Roman" w:hAnsi="Times New Roman" w:eastAsia="Times New Roman" w:cs="Times New Roman"/><w:sz w:val="20"/><w:szCs w:val="20"/></w:rPr><w:t xml:space="preserve">13,072</w:t></w:r></w:p></w:tc><w:tc><w:tcPr><w:tcW w:w="4200" w:type="pct"/><w:vAlign w:val="bottom"/><w:noWrap/></w:tcPr><w:p><w:pPr/><w:r><w:rPr><w:rFonts w:ascii="Times New Roman" w:hAnsi="Times New Roman" w:eastAsia="Times New Roman" w:cs="Times New Roman"/><w:sz w:val="20"/><w:szCs w:val="20"/></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Supplemental balance sheet information related to finance le</w:t></w:r></w:p><w:p><w:pPr><w:jc w:val="start"/></w:pPr><w:r><w:rPr><w:rFonts w:ascii="&quot;Times New Roman&quot;" w:hAnsi="&quot;Times New Roman&quot;" w:eastAsia="&quot;Times New Roman&quot;" w:cs="&quot;Times New Roman&quot;"/><w:sz w:val="20"/><w:szCs w:val="20"/><w:spacing w:val="0"/></w:rPr><w:t xml:space="preserve">a</w:t></w:r></w:p><w:p><w:pPr><w:jc w:val="start"/></w:pPr><w:r><w:rPr><w:rFonts w:ascii="&quot;Times New Roman&quot;" w:hAnsi="&quot;Times New Roman&quot;" w:eastAsia="&quot;Times New Roman&quot;" w:cs="&quot;Times New Roman&quot;"/><w:sz w:val="20"/><w:szCs w:val="20"/><w:spacing w:val="0"/></w:rPr><w:t xml:space="preserve">ses was as follows: </w:t></w:r></w:p><w:p><w:pPr><w:jc w:val="start"/></w:pPr><w:r><w:rPr><w:sz w:val="24"/><w:szCs w:val="24"/><w:spacing w:val="0"/></w:rPr><w:t xml:space="preserve"> </w:t></w:r></w:p><w:tbl><w:tblGrid><w:gridCol w:w="3750" w:type="dxa"/><w:gridCol w:w="300" w:type="dxa"/><w:gridCol w:w="3800" w:type="dxa"/><w:gridCol w:w="3800" w:type="dxa"/><w:gridCol w:w="3800" w:type="dxa"/><w:gridCol w:w="250" w:type="dxa"/><w:gridCol w:w="3800" w:type="dxa"/><w:gridCol w:w="3800" w:type="dxa"/><w:gridCol w:w="3800" w:type="dxa"/></w:tblGrid><w:tblPr><w:tblW w:w="3800" w:type="pct"/><w:tblCellSpacing w:w="0" w:type="dxa"/><w:tblLayout w:type="autofit"/></w:tblPr><w:tr><w:trPr/><w:tc><w:tcPr><w:tcW w:w="3750" w:type="pct"/><w:noWrap/></w:tcPr><w:p><w:pPr/></w:p></w:tc><w:tc><w:tcPr><w:tcW w:w="300" w:type="pct"/><w:vAlign w:val="bottom"/><w:noWrap/></w:tcPr><w:p><w:pPr/></w:p></w:tc><w:tc><w:tcPr><w:tcW w:w="3800" w:type="pct"/><w:noWrap/></w:tcPr><w:p><w:pPr/></w:p></w:tc><w:tc><w:tcPr><w:tcW w:w="3800" w:type="pct"/><w:noWrap/></w:tcPr><w:p><w:pPr/></w:p></w:tc><w:tc><w:tcPr><w:tcW w:w="3800" w:type="pct"/><w:noWrap/></w:tcPr><w:p><w:pPr/></w:p></w:tc><w:tc><w:tcPr><w:tcW w:w="2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September 30,</w:t></w:r><w:br/><w:r><w:rPr><w:rFonts w:ascii="Times New Roman" w:hAnsi="Times New Roman" w:eastAsia="Times New Roman" w:cs="Times New Roman"/><w:sz w:val="16"/><w:szCs w:val="16"/><w:b w:val="1"/><w:bCs w:val="1"/><w:spacing w:val="0"/></w:rPr><w:t xml:space="preserve"> 2021</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January 1</w:t></w:r><w:br/><w:r><w:rPr><w:rFonts w:ascii="Times New Roman" w:hAnsi="Times New Roman" w:eastAsia="Times New Roman" w:cs="Times New Roman"/><w:sz w:val="16"/><w:szCs w:val="16"/><w:b w:val="1"/><w:bCs w:val="1"/><w:spacing w:val="0"/></w:rPr><w:t xml:space="preserve"> 2021</w:t></w:r></w:p></w:tc><w:tc><w:tcPr><w:tcW w:w="3800" w:type="pct"/><w:vAlign w:val="bottom"/><w:noWrap/></w:tcPr><w:p><w:pPr/><w:r><w:rPr><w:rFonts w:ascii="Times New Roman" w:hAnsi="Times New Roman" w:eastAsia="Times New Roman" w:cs="Times New Roman"/><w:sz w:val="16"/><w:szCs w:val="16"/><w:spacing w:val="0"/></w:rPr><w:t xml:space="preserve"> </w:t></w:r></w:p></w:tc></w:tr><w:tr><w:trPr/><w:tc><w:tcPr><w:tcW w:w="3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Property and equipment, gross</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18,670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22,989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50" w:type="pct"/><w:vAlign w:val="top"/><w:noWrap/></w:tcPr><w:p><w:pPr/><w:r><w:rPr><w:rFonts w:ascii="&quot;Times New Roman&quot;" w:hAnsi="&quot;Times New Roman&quot;" w:eastAsia="&quot;Times New Roman&quot;" w:cs="&quot;Times New Roman&quot;"/><w:sz w:val="20"/><w:szCs w:val="20"/><w:spacing w:val="0"/></w:rPr><w:t xml:space="preserve">Accumulated depreciation</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(16,736</w:t></w:r></w:p></w:tc><w:tc><w:tcPr><w:tcW w:w="38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(19,250</w:t></w:r></w:p></w:tc><w:tc><w:tcPr><w:tcW w:w="3800" w:type="pct"/><w:vAlign w:val="bottom"/><w:noWrap/></w:tcPr><w:p><w:pPr/><w:r><w:rPr><w:rFonts w:ascii="Times New Roman" w:hAnsi="Times New Roman" w:eastAsia="Times New Roman" w:cs="Times New Roman"/><w:sz w:val="20"/><w:szCs w:val="20"/></w:rPr><w:t xml:space="preserve">) </w:t></w:r></w:p></w:tc></w:tr><w:tr><w:trPr/><w:tc><w:tcPr><w:tcW w:w="375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Property and equipment, net</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1,934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3,739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5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750" w:type="pct"/><w:vAlign w:val="top"/><w:noWrap/></w:tcPr><w:p><w:pPr/><w:r><w:rPr><w:rFonts w:ascii="&quot;Times New Roman&quot;" w:hAnsi="&quot;Times New Roman&quot;" w:eastAsia="&quot;Times New Roman&quot;" w:cs="&quot;Times New Roman&quot;"/><w:sz w:val="20"/><w:szCs w:val="20"/></w:rPr><w:t xml:space="preserve"> </w:t></w:r></w:p></w:tc><w:tc><w:tcPr><w:tcW w:w="3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c><w:tcPr><w:tcW w:w="25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r><w:tr><w:trPr/><w:tc><w:tcPr><w:tcW w:w="3750" w:type="pct"/><w:vAlign w:val="top"/><w:noWrap/></w:tcPr><w:p><w:pPr/><w:r><w:rPr><w:rFonts w:ascii="&quot;Times New Roman&quot;" w:hAnsi="&quot;Times New Roman&quot;" w:eastAsia="&quot;Times New Roman&quot;" w:cs="&quot;Times New Roman&quot;"/><w:sz w:val="20"/><w:szCs w:val="20"/><w:spacing w:val="0"/></w:rPr><w:t xml:space="preserve">Current portion of finance lease obligations</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8,531</w:t></w:r></w:p></w:tc><w:tc><w:tcPr><w:tcW w:w="38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3,619</w:t></w:r></w:p></w:tc><w:tc><w:tcPr><w:tcW w:w="3800" w:type="pct"/><w:vAlign w:val="bottom"/><w:noWrap/></w:tcPr><w:p><w:pPr/><w:r><w:rPr><w:rFonts w:ascii="Times New Roman" w:hAnsi="Times New Roman" w:eastAsia="Times New Roman" w:cs="Times New Roman"/><w:sz w:val="20"/><w:szCs w:val="20"/></w:rPr><w:t xml:space="preserve"> </w:t></w:r></w:p></w:tc></w:tr><w:tr><w:trPr/><w:tc><w:tcPr><w:tcW w:w="3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Finance lease long-term obligations</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831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11,442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5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750" w:type="pct"/><w:vAlign w:val="top"/><w:noWrap/></w:tcPr><w:p><w:pPr/><w:r><w:rPr><w:rFonts w:ascii="&quot;Times New Roman&quot;" w:hAnsi="&quot;Times New Roman&quot;" w:eastAsia="&quot;Times New Roman&quot;" w:cs="&quot;Times New Roman&quot;"/><w:sz w:val="20"/><w:szCs w:val="20"/><w:spacing w:val="0"/></w:rPr><w:t xml:space="preserve">Total finance lease liabilities</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9,362</w:t></w:r></w:p></w:tc><w:tc><w:tcPr><w:tcW w:w="38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15,061</w:t></w:r></w:p></w:tc><w:tc><w:tcPr><w:tcW w:w="3800" w:type="pct"/><w:vAlign w:val="bottom"/><w:noWrap/></w:tcPr><w:p><w:pPr/><w:r><w:rPr><w:rFonts w:ascii="Times New Roman" w:hAnsi="Times New Roman" w:eastAsia="Times New Roman" w:cs="Times New Roman"/><w:sz w:val="20"/><w:szCs w:val="20"/></w:rPr><w:t xml:space="preserve"> </w:t></w:r></w:p></w:tc></w:tr><w:tr><w:trPr/><w:tc><w:tcPr><w:tcW w:w="375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Supplemental cash flow information related to leases was as follows: </w:t></w:r></w:p><w:p><w:pPr><w:jc w:val="start"/></w:pPr><w:r><w:rPr><w:sz w:val="24"/><w:szCs w:val="24"/><w:spacing w:val="0"/></w:rPr><w:t xml:space="preserve"> </w:t></w:r></w:p><w:tbl><w:tblGrid><w:gridCol w:w="3950" w:type="dxa"/><w:gridCol w:w="700" w:type="dxa"/><w:gridCol w:w="3400" w:type="dxa"/><w:gridCol w:w="3400" w:type="dxa"/><w:gridCol w:w="3400" w:type="dxa"/></w:tblGrid><w:tblPr><w:tblW w:w="3400" w:type="pct"/><w:tblCellSpacing w:w="0" w:type="dxa"/><w:tblLayout w:type="autofit"/></w:tblPr><w:tr><w:trPr/><w:tc><w:tcPr><w:tcW w:w="3950" w:type="pct"/><w:noWrap/></w:tcPr><w:p><w:pPr/></w:p></w:tc><w:tc><w:tcPr><w:tcW w:w="700" w:type="pct"/><w:vAlign w:val="bottom"/><w:noWrap/></w:tcPr><w:p><w:pPr/></w:p></w:tc><w:tc><w:tcPr><w:tcW w:w="3400" w:type="pct"/><w:noWrap/></w:tcPr><w:p><w:pPr/></w:p></w:tc><w:tc><w:tcPr><w:tcW w:w="3400" w:type="pct"/><w:noWrap/></w:tcPr><w:p><w:pPr/></w:p></w:tc><w:tc><w:tcPr><w:tcW w:w="3400" w:type="pct"/><w:noWrap/></w:tcPr><w:p><w:pPr/></w:p></w:tc></w:tr><w:tr><w:trPr/><w:tc><w:tcPr><w:tcW w:w="3400" w:type="pct"/><w:vAlign w:val="bottom"/><w:noWrap/></w:tcPr><w:p><w:pPr/><w:r><w:rPr><w:rFonts w:ascii="Times New Roman" w:hAnsi="Times New Roman" w:eastAsia="Times New Roman" w:cs="Times New Roman"/><w:sz w:val="16"/><w:szCs w:val="16"/><w:spacing w:val="0"/></w:rPr><w:t xml:space="preserve"> </w:t></w:r></w:p></w:tc><w:tc><w:tcPr><w:tcW w:w="3400" w:type="pct"/><w:vAlign w:val="bottom"/><w:noWrap/></w:tcPr><w:p><w:pPr/><w:r><w:rPr><w:rFonts w:ascii="Times New Roman" w:hAnsi="Times New Roman" w:eastAsia="Times New Roman" w:cs="Times New Roman"/><w:sz w:val="16"/><w:szCs w:val="16"/><w:spacing w:val="0"/></w:rPr><w:t xml:space="preserve">  </w:t></w:r></w:p></w:tc><w:tc><w:tcPr><w:tcW w:w="3400" w:type="pct"/><w:vAlign w:val="bottom"/><w:gridSpan w:val="2"/><w:noWrap/></w:tcPr><w:p><w:pPr><w:jc w:val="center"/></w:pPr><w:r><w:rPr><w:rFonts w:ascii="Times New Roman" w:hAnsi="Times New Roman" w:eastAsia="Times New Roman" w:cs="Times New Roman"/><w:sz w:val="16"/><w:szCs w:val="16"/><w:b w:val="1"/><w:bCs w:val="1"/><w:spacing w:val="0"/></w:rPr><w:t xml:space="preserve">Nine Months</w:t></w:r><w:br/><w:r><w:rPr><w:rFonts w:ascii="Times New Roman" w:hAnsi="Times New Roman" w:eastAsia="Times New Roman" w:cs="Times New Roman"/><w:sz w:val="16"/><w:szCs w:val="16"/><w:b w:val="1"/><w:bCs w:val="1"/><w:spacing w:val="0"/></w:rPr><w:t xml:space="preserve"> Ended</w:t></w:r><w:br/><w:r><w:rPr><w:rFonts w:ascii="Times New Roman" w:hAnsi="Times New Roman" w:eastAsia="Times New Roman" w:cs="Times New Roman"/><w:sz w:val="16"/><w:szCs w:val="16"/><w:b w:val="1"/><w:bCs w:val="1"/><w:spacing w:val="0"/></w:rPr><w:t xml:space="preserve">September 30, 2021</w:t></w:r></w:p></w:tc><w:tc><w:tcPr><w:tcW w:w="3400" w:type="pct"/><w:vAlign w:val="bottom"/><w:noWrap/></w:tcPr><w:p><w:pPr/><w:r><w:rPr><w:rFonts w:ascii="Times New Roman" w:hAnsi="Times New Roman" w:eastAsia="Times New Roman" w:cs="Times New Roman"/><w:sz w:val="16"/><w:szCs w:val="16"/><w:spacing w:val="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Cash paid for amounts included in the measurement of lease liabilities:</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Operating cash flows for operating leases</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4,933</w:t></w:r></w:p></w:tc><w:tc><w:tcPr><w:tcW w:w="3400" w:type="pct"/><w:vAlign w:val="bottom"/><w:noWrap/></w:tcPr><w:p><w:pPr/><w:r><w:rPr><w:rFonts w:ascii="Times New Roman" w:hAnsi="Times New Roman" w:eastAsia="Times New Roman" w:cs="Times New Roman"/><w:sz w:val="20"/><w:szCs w:val="2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Operating cash flows for finance leases</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1,327</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Financing cash flows for finance leases</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2,099</w:t></w:r></w:p></w:tc><w:tc><w:tcPr><w:tcW w:w="3400" w:type="pct"/><w:vAlign w:val="bottom"/><w:noWrap/></w:tcPr><w:p><w:pPr/><w:r><w:rPr><w:rFonts w:ascii="Times New Roman" w:hAnsi="Times New Roman" w:eastAsia="Times New Roman" w:cs="Times New Roman"/><w:sz w:val="20"/><w:szCs w:val="2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Right-of-use</w:t></w:r><w:r><w:rPr><w:rFonts w:ascii="&quot;Times New Roman&quot;" w:hAnsi="&quot;Times New Roman&quot;" w:eastAsia="&quot;Times New Roman&quot;" w:cs="&quot;Times New Roman&quot;"/><w:sz w:val="20"/><w:szCs w:val="20"/><w:shd w:val="clear" w:fill="CCEEFF"/></w:rPr><w:t xml:space="preserve"> assets obtained in exchange for lease obligations - upon adoption:</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Operating leases</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13,525</w:t></w:r></w:p></w:tc><w:tc><w:tcPr><w:tcW w:w="3400" w:type="pct"/><w:vAlign w:val="bottom"/><w:noWrap/></w:tcPr><w:p><w:pPr/><w:r><w:rPr><w:rFonts w:ascii="Times New Roman" w:hAnsi="Times New Roman" w:eastAsia="Times New Roman" w:cs="Times New Roman"/><w:sz w:val="20"/><w:szCs w:val="2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Finance leases</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Right-of-use</w:t></w:r><w:r><w:rPr><w:rFonts w:ascii="&quot;Times New Roman&quot;" w:hAnsi="&quot;Times New Roman&quot;" w:eastAsia="&quot;Times New Roman&quot;" w:cs="&quot;Times New Roman&quot;"/><w:sz w:val="20"/><w:szCs w:val="20"/></w:rPr><w:t xml:space="preserve"> assets obtained in exchange for lease obligations - post adoption:</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quot;Times New Roman&quot;" w:hAnsi="&quot;Times New Roman&quot;" w:eastAsia="&quot;Times New Roman&quot;" w:cs="&quot;Times New Roman&quot;"/><w:sz w:val="20"/><w:szCs w:val="20"/></w:rPr><w:t xml:space="preserve"> </w:t></w:r></w:p></w:tc><w:tc><w:tcPr><w:tcW w:w="3400" w:type="pct"/><w:vAlign w:val="bottom"/><w:noWrap/></w:tcPr><w:p><w:pPr/><w:r><w:rPr><w:rFonts w:ascii="&quot;Times New Roman&quot;" w:hAnsi="&quot;Times New Roman&quot;" w:eastAsia="&quot;Times New Roman&quot;" w:cs="&quot;Times New Roman&quot;"/><w:sz w:val="20"/><w:szCs w:val="20"/></w:rPr><w:t xml:space="preserve"> </w:t></w:r></w:p></w:tc><w:tc><w:tcPr><w:tcW w:w="3400" w:type="pct"/><w:vAlign w:val="bottom"/><w:noWrap/></w:tcPr><w:p><w:pPr/><w:r><w:rPr><w:rFonts w:ascii="&quot;Times New Roman&quot;" w:hAnsi="&quot;Times New Roman&quot;" w:eastAsia="&quot;Times New Roman&quot;" w:cs="&quot;Times New Roman&quot;"/><w:sz w:val="20"/><w:szCs w:val="2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Operating leases</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17,114</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Finance leases</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w:t></w:r></w:p><w:p><w:pPr><w:jc w:val="center"/></w:pPr><w:r><w:rPr><w:rFonts w:ascii="&quot;Times New Roman&quot;" w:hAnsi="&quot;Times New Roman&quot;" w:eastAsia="&quot;Times New Roman&quot;" w:cs="&quot;Times New Roman&quot;"/><w:sz w:val="20"/><w:szCs w:val="20"/><w:spacing w:val="0"/></w:rPr><w:t xml:space="preserve">2</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tbl><w:tblGrid><w:gridCol w:w="4200" w:type="dxa"/><w:gridCol w:w="550" w:type="dxa"/><w:gridCol w:w="3400" w:type="dxa"/><w:gridCol w:w="3400" w:type="dxa"/><w:gridCol w:w="3400" w:type="dxa"/></w:tblGrid><w:tblPr><w:tblW w:w="3400" w:type="pct"/><w:tblCellSpacing w:w="0" w:type="dxa"/><w:tblLayout w:type="autofit"/></w:tblPr><w:tr><w:trPr/><w:tc><w:tcPr><w:tcW w:w="4200" w:type="pct"/><w:noWrap/></w:tcPr><w:p><w:pPr/></w:p></w:tc><w:tc><w:tcPr><w:tcW w:w="550" w:type="pct"/><w:vAlign w:val="bottom"/><w:noWrap/></w:tcPr><w:p><w:pPr/></w:p></w:tc><w:tc><w:tcPr><w:tcW w:w="3400" w:type="pct"/><w:noWrap/></w:tcPr><w:p><w:pPr/></w:p></w:tc><w:tc><w:tcPr><w:tcW w:w="3400" w:type="pct"/><w:noWrap/></w:tcPr><w:p><w:pPr/></w:p></w:tc><w:tc><w:tcPr><w:tcW w:w="3400" w:type="pct"/><w:noWrap/></w:tcPr><w:p><w:pPr/></w:p></w:tc></w:tr><w:tr><w:trPr/><w:tc><w:tcPr><w:tcW w:w="3400" w:type="pct"/><w:vAlign w:val="bottom"/><w:noWrap/></w:tcPr><w:p><w:pPr/><w:r><w:rPr><w:rFonts w:ascii="Times New Roman" w:hAnsi="Times New Roman" w:eastAsia="Times New Roman" w:cs="Times New Roman"/><w:sz w:val="16"/><w:szCs w:val="16"/><w:spacing w:val="0"/></w:rPr><w:t xml:space="preserve"> </w:t></w:r></w:p></w:tc><w:tc><w:tcPr><w:tcW w:w="3400" w:type="pct"/><w:vAlign w:val="bottom"/><w:noWrap/></w:tcPr><w:p><w:pPr/><w:r><w:rPr><w:rFonts w:ascii="Times New Roman" w:hAnsi="Times New Roman" w:eastAsia="Times New Roman" w:cs="Times New Roman"/><w:sz w:val="16"/><w:szCs w:val="16"/><w:spacing w:val="0"/></w:rPr><w:t xml:space="preserve">  </w:t></w:r></w:p></w:tc><w:tc><w:tcPr><w:tcW w:w="3400" w:type="pct"/><w:vAlign w:val="bottom"/><w:gridSpan w:val="2"/><w:noWrap/></w:tcPr><w:p><w:pPr><w:jc w:val="center"/></w:pPr><w:r><w:rPr><w:rFonts w:ascii="Times New Roman" w:hAnsi="Times New Roman" w:eastAsia="Times New Roman" w:cs="Times New Roman"/><w:sz w:val="16"/><w:szCs w:val="16"/><w:b w:val="1"/><w:bCs w:val="1"/><w:spacing w:val="0"/></w:rPr><w:t xml:space="preserve">September 30,</w:t></w:r><w:br/><w:r><w:rPr><w:rFonts w:ascii="Times New Roman" w:hAnsi="Times New Roman" w:eastAsia="Times New Roman" w:cs="Times New Roman"/><w:sz w:val="16"/><w:szCs w:val="16"/><w:b w:val="1"/><w:bCs w:val="1"/><w:spacing w:val="0"/></w:rPr><w:t xml:space="preserve"> 2021</w:t></w:r></w:p></w:tc><w:tc><w:tcPr><w:tcW w:w="3400" w:type="pct"/><w:vAlign w:val="bottom"/><w:noWrap/></w:tcPr><w:p><w:pPr/><w:r><w:rPr><w:rFonts w:ascii="Times New Roman" w:hAnsi="Times New Roman" w:eastAsia="Times New Roman" w:cs="Times New Roman"/><w:sz w:val="16"/><w:szCs w:val="16"/><w:spacing w:val="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Weighted-average remaining lease term</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Finance leases</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1.23</w:t></w:r></w:p></w:tc><w:tc><w:tcPr><w:tcW w:w="3400" w:type="pct"/><w:vAlign w:val="bottom"/><w:noWrap/></w:tcPr><w:p><w:pPr/><w:r><w:rPr><w:rFonts w:ascii="Times New Roman" w:hAnsi="Times New Roman" w:eastAsia="Times New Roman" w:cs="Times New Roman"/><w:sz w:val="20"/><w:szCs w:val="2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Operating leases</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8.06</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noWrap/></w:tcPr><w:p><w:pPr/></w:p></w:tc><w:tc><w:tcPr><w:tcW w:w="550" w:type="pct"/><w:vAlign w:val="bottom"/><w:noWrap/></w:tcPr><w:p><w:pPr/></w:p></w:tc><w:tc><w:tcPr><w:tcW w:w="3400" w:type="pct"/><w:noWrap/></w:tcPr><w:p><w:pPr/></w:p></w:tc><w:tc><w:tcPr><w:tcW w:w="3400" w:type="pct"/><w:noWrap/></w:tcPr><w:p><w:pPr/></w:p></w:tc><w:tc><w:tcPr><w:tcW w:w="3400" w:type="pct"/><w:noWrap/></w:tcPr><w:p><w:pPr/></w:p></w:tc></w:tr><w:tr><w:trPr/><w:tc><w:tcPr><w:tcW w:w="3400" w:type="pct"/><w:vAlign w:val="bottom"/><w:noWrap/></w:tcPr><w:p><w:pPr/><w:r><w:rPr><w:rFonts w:ascii="&quot;Times New Roman&quot;" w:hAnsi="&quot;Times New Roman&quot;" w:eastAsia="&quot;Times New Roman&quot;" w:cs="&quot;Times New Roman&quot;"/><w:sz w:val="20"/><w:szCs w:val="20"/></w:rPr><w:t xml:space="preserve"> </w:t></w:r></w:p></w:tc><w:tc><w:tcPr><w:tcW w:w="3400" w:type="pct"/><w:vAlign w:val="bottom"/><w:noWrap/></w:tcPr><w:p><w:pPr/><w:r><w:rPr><w:rFonts w:ascii="&quot;Times New Roman&quot;" w:hAnsi="&quot;Times New Roman&quot;" w:eastAsia="&quot;Times New Roman&quot;" w:cs="&quot;Times New Roman&quot;"/><w:sz w:val="20"/><w:szCs w:val="20"/></w:rPr><w:t xml:space="preserve"> </w:t></w:r></w:p></w:tc><w:tc><w:tcPr><w:tcW w:w="3400" w:type="pct"/><w:vAlign w:val="bottom"/><w:gridSpan w:val="2"/><w:noWrap/></w:tcPr><w:p><w:pPr><w:jc w:val="center"/></w:pPr><w:r><w:rPr><w:rFonts w:ascii="&quot;Times New Roman&quot;" w:hAnsi="&quot;Times New Roman&quot;" w:eastAsia="&quot;Times New Roman&quot;" w:cs="&quot;Times New Roman&quot;"/><w:sz w:val="20"/><w:szCs w:val="20"/><w:b w:val="1"/><w:bCs w:val="1"/></w:rPr><w:t xml:space="preserve"> </w:t></w:r></w:p></w:tc><w:tc><w:tcPr><w:tcW w:w="3400" w:type="pct"/><w:vAlign w:val="bottom"/><w:noWrap/></w:tcPr><w:p><w:pPr/><w:r><w:rPr><w:rFonts w:ascii="&quot;Times New Roman&quot;" w:hAnsi="&quot;Times New Roman&quot;" w:eastAsia="&quot;Times New Roman&quot;" w:cs="&quot;Times New Roman&quot;"/><w:sz w:val="20"/><w:szCs w:val="20"/></w:rPr><w:t xml:space="preserve"> </w:t></w:r></w:p></w:tc></w:tr><w:tr><w:trPr/><w:tc><w:tcPr><w:tcW w:w="3400" w:type="pct"/><w:vAlign w:val="bottom"/><w:noWrap/></w:tcPr><w:p><w:pPr/><w:r><w:rPr><w:rFonts w:ascii="Times New Roman" w:hAnsi="Times New Roman" w:eastAsia="Times New Roman" w:cs="Times New Roman"/><w:sz w:val="16"/><w:szCs w:val="16"/></w:rPr><w:t xml:space="preserve"> </w:t></w:r></w:p></w:tc><w:tc><w:tcPr><w:tcW w:w="3400" w:type="pct"/><w:vAlign w:val="bottom"/><w:noWrap/></w:tcPr><w:p><w:pPr/><w:r><w:rPr><w:rFonts w:ascii="Times New Roman" w:hAnsi="Times New Roman" w:eastAsia="Times New Roman" w:cs="Times New Roman"/><w:sz w:val="16"/><w:szCs w:val="16"/></w:rPr><w:t xml:space="preserve">  </w:t></w:r></w:p></w:tc><w:tc><w:tcPr><w:tcW w:w="3400" w:type="pct"/><w:vAlign w:val="bottom"/><w:gridSpan w:val="2"/><w:noWrap/></w:tcPr><w:p><w:pPr><w:jc w:val="center"/></w:pPr><w:r><w:rPr><w:rFonts w:ascii="Times New Roman" w:hAnsi="Times New Roman" w:eastAsia="Times New Roman" w:cs="Times New Roman"/><w:sz w:val="16"/><w:szCs w:val="16"/><w:b w:val="1"/><w:bCs w:val="1"/><w:spacing w:val="0"/></w:rPr><w:t xml:space="preserve">September 30,</w:t></w:r></w:p></w:tc><w:tc><w:tcPr><w:tcW w:w="3400" w:type="pct"/><w:vAlign w:val="bottom"/><w:noWrap/></w:tcPr><w:p><w:pPr/><w:r><w:rPr><w:rFonts w:ascii="Times New Roman" w:hAnsi="Times New Roman" w:eastAsia="Times New Roman" w:cs="Times New Roman"/><w:sz w:val="16"/><w:szCs w:val="16"/></w:rPr><w:t xml:space="preserve"> </w:t></w:r></w:p></w:tc></w:tr><w:tr><w:trPr/><w:tc><w:tcPr><w:tcW w:w="3400" w:type="pct"/><w:vAlign w:val="bottom"/><w:noWrap/></w:tcPr><w:p><w:pPr/><w:r><w:rPr><w:rFonts w:ascii="Times New Roman" w:hAnsi="Times New Roman" w:eastAsia="Times New Roman" w:cs="Times New Roman"/><w:sz w:val="16"/><w:szCs w:val="16"/></w:rPr><w:t xml:space="preserve"> </w:t></w:r></w:p></w:tc><w:tc><w:tcPr><w:tcW w:w="3400" w:type="pct"/><w:vAlign w:val="bottom"/><w:noWrap/></w:tcPr><w:p><w:pPr/><w:r><w:rPr><w:rFonts w:ascii="Times New Roman" w:hAnsi="Times New Roman" w:eastAsia="Times New Roman" w:cs="Times New Roman"/><w:sz w:val="16"/><w:szCs w:val="16"/></w:rPr><w:t xml:space="preserve">  </w:t></w:r></w:p></w:tc><w:tc><w:tcPr><w:tcW w:w="34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3400" w:type="pct"/><w:vAlign w:val="bottom"/><w:noWrap/></w:tcPr><w:p><w:pPr/><w:r><w:rPr><w:rFonts w:ascii="Times New Roman" w:hAnsi="Times New Roman" w:eastAsia="Times New Roman" w:cs="Times New Roman"/><w:sz w:val="16"/><w:szCs w:val="16"/></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Weighted-average discount rate</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Finance leases</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15.04</w:t></w:r></w:p></w:tc><w:tc><w:tcPr><w:tcW w:w="3400" w:type="pct"/><w:vAlign w:val="bottom"/><w:noWrap/></w:tcPr><w:p><w:pPr/><w:r><w:rPr><w:rFonts w:ascii="Times New Roman" w:hAnsi="Times New Roman" w:eastAsia="Times New Roman" w:cs="Times New Roman"/><w:sz w:val="20"/><w:szCs w:val="2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Operating leases</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4.18</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pPr><w:r><w:rPr><w:rFonts w:ascii="&quot;Times New Roman&quot;" w:hAnsi="&quot;Times New Roman&quot;" w:eastAsia="&quot;Times New Roman&quot;" w:cs="&quot;Times New Roman&quot;"/><w:sz w:val="20"/><w:szCs w:val="20"/><w:spacing w:val="0"/></w:rPr><w:t xml:space="preserve">As of September 30, 2021, the maturities of lease liabilities were as follows: </w:t></w:r></w:p><w:p><w:pPr><w:jc w:val="start"/></w:pPr><w:r><w:rPr><w:sz w:val="24"/><w:szCs w:val="24"/><w:spacing w:val="0"/></w:rPr><w:t xml:space="preserve"> </w:t></w:r></w:p><w:tbl><w:tblGrid><w:gridCol w:w="3550" w:type="dxa"/><w:gridCol w:w="450" w:type="dxa"/><w:gridCol w:w="3800" w:type="dxa"/><w:gridCol w:w="3800" w:type="dxa"/><w:gridCol w:w="3800" w:type="dxa"/><w:gridCol w:w="400" w:type="dxa"/><w:gridCol w:w="3800" w:type="dxa"/><w:gridCol w:w="3800" w:type="dxa"/><w:gridCol w:w="3800" w:type="dxa"/></w:tblGrid><w:tblPr><w:tblW w:w="3800" w:type="pct"/><w:tblCellSpacing w:w="0" w:type="dxa"/><w:tblLayout w:type="autofit"/></w:tblPr><w:tr><w:trPr/><w:tc><w:tcPr><w:tcW w:w="3550" w:type="pct"/><w:noWrap/></w:tcPr><w:p><w:pPr/></w:p></w:tc><w:tc><w:tcPr><w:tcW w:w="450" w:type="pct"/><w:vAlign w:val="bottom"/><w:noWrap/></w:tcPr><w:p><w:pPr/></w:p></w:tc><w:tc><w:tcPr><w:tcW w:w="3800" w:type="pct"/><w:noWrap/></w:tcPr><w:p><w:pPr/></w:p></w:tc><w:tc><w:tcPr><w:tcW w:w="3800" w:type="pct"/><w:noWrap/></w:tcPr><w:p><w:pPr/></w:p></w:tc><w:tc><w:tcPr><w:tcW w:w="3800" w:type="pct"/><w:noWrap/></w:tcPr><w:p><w:pPr/></w:p></w:tc><w:tc><w:tcPr><w:tcW w:w="4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Operating leases</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Finance leases</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2021 (remaining 3 months)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1,975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889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2022</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4,980</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8,887</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2023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4,137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2024</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3,345</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2025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3,249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Thereafter</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16,644</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lease payments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34,330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9,776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Less: interest</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(5,459</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(414</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lease liabilities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28,871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9,362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Under ASC 840, for the three and nine months ended September 30, 2020, the Company recorded lease expenses of</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$1,620 and $4,971, respectively for operating leases. </w:t></w:r></w:p><w:p><w:pPr><w:jc w:val="start"/></w:pPr><w:r><w:rPr><w:rFonts w:ascii="&quot;Times New Roman&quot;" w:hAnsi="&quot;Times New Roman&quot;" w:eastAsia="&quot;Times New Roman&quot;" w:cs="&quot;Times New Roman&quot;"/><w:sz w:val="20"/><w:szCs w:val="20"/><w:b w:val="1"/><w:bCs w:val="1"/><w:spacing w:val="0"/></w:rPr><w:t xml:space="preserve">18. Commitments and Contingencies </w:t></w:r></w:p><w:p><w:pPr><w:jc w:val="start"/></w:pPr><w:r><w:rPr><w:rFonts w:ascii="&quot;Times New Roman&quot;" w:hAnsi="&quot;Times New Roman&quot;" w:eastAsia="&quot;Times New Roman&quot;" w:cs="&quot;Times New Roman&quot;"/><w:sz w:val="20"/><w:szCs w:val="20"/><w:b w:val="1"/><w:bCs w:val="1"/><w:i w:val="1"/><w:iCs w:val="1"/><w:spacing w:val="0"/></w:rPr><w:t xml:space="preserve">Royalty Commitments </w:t></w:r></w:p><w:p><w:pPr><w:jc w:val="start"/></w:pPr><w:r><w:rPr><w:rFonts w:ascii="&quot;Times New Roman&quot;" w:hAnsi="&quot;Times New Roman&quot;" w:eastAsia="&quot;Times New Roman&quot;" w:cs="&quot;Times New Roman&quot;"/><w:sz w:val="20"/><w:szCs w:val="20"/><w:spacing w:val="0"/></w:rPr><w:t xml:space="preserve">The Company entered into a license agreement with a university for certain patent rights related to the development, use, and production of one of its advanced wound care products. Under this agreement, the Company incurred a royalty based on a percentage of net product sales, for the use of these patents until the patents expired, which was in November 2006. Accrued royalties totaled $1,187 as of September 30, 2021 and December 31, 2020, respectively, and were classified as part of accrued expenses on the Company’s consolidated balance sheets. There was no royalty expense incurred during the three and nine months end</w:t></w:r></w:p><w:p><w:pPr><w:jc w:val="start"/></w:pPr><w:r><w:rPr><w:rFonts w:ascii="&quot;Times New Roman&quot;" w:hAnsi="&quot;Times New Roman&quot;" w:eastAsia="&quot;Times New Roman&quot;" w:cs="&quot;Times New Roman&quot;"/><w:sz w:val="20"/><w:szCs w:val="20"/><w:spacing w:val="0"/></w:rPr><w:t xml:space="preserve">e</w:t></w:r></w:p><w:p><w:pPr><w:jc w:val="start"/></w:pPr><w:r><w:rPr><w:rFonts w:ascii="&quot;Times New Roman&quot;" w:hAnsi="&quot;Times New Roman&quot;" w:eastAsia="&quot;Times New Roman&quot;" w:cs="&quot;Times New Roman&quot;"/><w:sz w:val="20"/><w:szCs w:val="20"/><w:spacing w:val="0"/></w:rPr><w:t xml:space="preserve">d September 30, 2021 or 2020 related to this agreement. </w:t></w:r></w:p><w:p><w:pPr><w:jc w:val="start"/></w:pPr><w:r><w:rPr><w:rFonts w:ascii="&quot;Times New Roman&quot;" w:hAnsi="&quot;Times New Roman&quot;" w:eastAsia="&quot;Times New Roman&quot;" w:cs="&quot;Times New Roman&quot;"/><w:sz w:val="20"/><w:szCs w:val="20"/><w:spacing w:val="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 The Company recorded royalty expense of $1,707 and $1,201 during the three months ended September 30, 2021 and 2020, respectively, and $4,062 and $3,020</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during the nine months ended September 30, 2021 and 2020, respectively, within selling, general and administrative expenses on the consolidated statement of operations. </w:t></w:r></w:p><w:p><w:pPr><w:jc w:val="start"/></w:pPr><w:r><w:rPr><w:rFonts w:ascii="&quot;Times New Roman&quot;" w:hAnsi="&quot;Times New Roman&quot;" w:eastAsia="&quot;Times New Roman&quot;" w:cs="&quot;Times New Roman&quot;"/><w:sz w:val="20"/><w:szCs w:val="20"/><w:spacing w:val="0"/></w:rPr><w:t xml:space="preserve">As part of the NuTech Medical acquisition, the Company inherited certain product development and consulting agreements for ongoing consulting services and royalty payments based on a percentage of net sales on certain products over a period of 15 years from the execution of the agreements. These product development and consulting agreements were canceled in January 2020 for total consideration of $1,950 that was paid on February 14, 2020. The $1,950 cancellation fee was recorded within selling, general and administrative expenses on the consolidated statement of operations for the nine months ended September 30, 2020.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w:t></w:r></w:p><w:p><w:pPr><w:jc w:val="center"/></w:pPr><w:r><w:rPr><w:rFonts w:ascii="&quot;Times New Roman&quot;" w:hAnsi="&quot;Times New Roman&quot;" w:eastAsia="&quot;Times New Roman&quot;" w:cs="&quot;Times New Roman&quot;"/><w:sz w:val="20"/><w:szCs w:val="20"/><w:spacing w:val="0"/></w:rPr><w:t xml:space="preserve">3</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Legal Proceedings</w:t></w:r></w:p><w:p><w:pPr><w:jc w:val="start"/></w:pPr><w:r><w:rPr><w:rFonts w:ascii="&quot;Times New Roman&quot;" w:hAnsi="&quot;Times New Roman&quot;" w:eastAsia="&quot;Times New Roman&quot;" w:cs="&quot;Times New Roman&quot;"/><w:sz w:val="20"/><w:szCs w:val="20"/><w:spacing w:val="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w:t></w:r></w:p><w:p><w:pPr><w:jc w:val="start"/></w:pPr><w:r><w:rPr><w:rFonts w:ascii="&quot;Times New Roman&quot;" w:hAnsi="&quot;Times New Roman&quot;" w:eastAsia="&quot;Times New Roman&quot;" w:cs="&quot;Times New Roman&quot;"/><w:sz w:val="20"/><w:szCs w:val="20"/><w:spacing w:val="0"/></w:rPr><w:t xml:space="preserve">o</w:t></w:r></w:p><w:p><w:pPr><w:jc w:val="start"/></w:pPr><w:r><w:rPr><w:rFonts w:ascii="&quot;Times New Roman&quot;" w:hAnsi="&quot;Times New Roman&quot;" w:eastAsia="&quot;Times New Roman&quot;" w:cs="&quot;Times New Roman&quot;"/><w:sz w:val="20"/><w:szCs w:val="20"/><w:spacing w:val="0"/></w:rPr><w:t xml:space="preserve">unts due are probable and estimable. </w:t></w:r></w:p><w:p><w:pPr><w:jc w:val="start"/></w:pPr><w:r><w:rPr><w:rFonts w:ascii="&quot;Times New Roman&quot;" w:hAnsi="&quot;Times New Roman&quot;" w:eastAsia="&quot;Times New Roman&quot;" w:cs="&quot;Times New Roman&quot;"/><w:sz w:val="20"/><w:szCs w:val="20"/><w:spacing w:val="0"/></w:rPr><w:t xml:space="preserve">The Company accrued $150 as of September 30, 2021 and December 31, 2020 for certain pending lawsuits. </w:t></w:r></w:p><w:p><w:pPr><w:jc w:val="start"/></w:pPr><w:r><w:rPr><w:rFonts w:ascii="&quot;Times New Roman&quot;" w:hAnsi="&quot;Times New Roman&quot;" w:eastAsia="&quot;Times New Roman&quot;" w:cs="&quot;Times New Roman&quot;"/><w:sz w:val="20"/><w:szCs w:val="20"/><w:spacing w:val="0"/></w:rPr><w:t xml:space="preserve">The purchase price for NuTech Medical acquired in 2017 included $7,500 deferred acquisition consideration of which the Company paid $2,500 in 2017. The remaining $5,000 of deferred acquisition consideration plus accrued interest owed to the sellers of NuTech Medical was previously in dispute. In February 2020, the Company entered into a settlement agreement with the sellers of NuTech Medical and settled the dispute for $4,000, of which, $2,000 was paid immediately on February 24, 2020 and the remaining $2,000 was paid in four quarterly installments of $500 each. As of March 31, 2021, the entire settlement was paid off. In addition, the Company assumed from the sellers of NuTech Medical the payment responsibilities related to a legacy lawsuit existing at the acquisition date of NuTech Medical. The assumed legacy lawsuit was settled in October 2020. In connection with the settlement of the deferred acquisition consideration dispute and the legacy lawsuit, the Company recorded a gain of $1,295 and $951 for the three months ended March 31, 2020 and September 30, 2020, respectively. The gain was included as a component of other expense, net, on the consolidated statement of operations. </w:t></w:r></w:p><w:p><w:pPr><w:jc w:val="start"/></w:pPr><w:r><w:rPr><w:rFonts w:ascii="&quot;Times New Roman&quot;" w:hAnsi="&quot;Times New Roman&quot;" w:eastAsia="&quot;Times New Roman&quot;" w:cs="&quot;Times New Roman&quot;"/><w:sz w:val="20"/><w:szCs w:val="20"/><w:b w:val="1"/><w:bCs w:val="1"/><w:spacing w:val="0"/></w:rPr><w:t xml:space="preserve">19. Related Party Transactions </w:t></w:r></w:p><w:p><w:pPr><w:jc w:val="start"/></w:pPr><w:r><w:rPr><w:rFonts w:ascii="&quot;Times New Roman&quot;" w:hAnsi="&quot;Times New Roman&quot;" w:eastAsia="&quot;Times New Roman&quot;" w:cs="&quot;Times New Roman&quot;"/><w:sz w:val="20"/><w:szCs w:val="20"/><w:spacing w:val="0"/></w:rPr><w:t xml:space="preserve">Finance lease obligations to affiliates, including accrued but unpaid lease obligations, and purchase of an asset under a finance lease with an affiliate are further described in Note “17. Leases”. </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During 2010, the Company’s Board of Directors approved a loan program that permitted the Company to make loans to three executives of the Company (the “Employer Loans”) to (i) provide them with liquidity (“Liquidity Loans”) and (ii) fund the ex</w:t></w:r></w:p><w:p><w:pPr><w:jc w:val="start"/></w:pPr><w:r><w:rPr><w:rFonts w:ascii="&quot;Times New Roman&quot;" w:hAnsi="&quot;Times New Roman&quot;" w:eastAsia="&quot;Times New Roman&quot;" w:cs="&quot;Times New Roman&quot;"/><w:sz w:val="20"/><w:szCs w:val="20"/><w:spacing w:val="0"/></w:rPr><w:t xml:space="preserve">e</w:t></w:r></w:p><w:p><w:pPr><w:jc w:val="start"/></w:pPr><w:r><w:rPr><w:rFonts w:ascii="&quot;Times New Roman&quot;" w:hAnsi="&quot;Times New Roman&quot;" w:eastAsia="&quot;Times New Roman&quot;" w:cs="&quot;Times New Roman&quot;"/><w:sz w:val="20"/><w:szCs w:val="20"/><w:spacing w:val="0"/></w:rPr><w:t xml:space="preserve">rcise of vested stock options (“Option Loans”). Two of the executives left the Company in 2014. The Employer Loans matured with all principal and accrued interest due on the tenth anniversary of the issuance date of each subject loan. Interest on the Employer Loans was at various rates ranging from 2.30%—3.86% per annum, compounded annually. The Employer Loans were secured by shares of the Company’s Class A common stock held by the former executives. With respect to the Liquidity Loans, the Company had no personal recourse against the borrowers beyond the pledged shares. As of December 31, 2020, Liquidity Loans and Option Loans to one former executive were outstanding with an aggregate principal balance of $100 and $334, respectively. During the three months ended March 31, 2021, this former executive paid off the outstanding principal balance of his Employer Loans and the related interest receivable. As a result, the Company recorded $179 as a recovery of the previously reserved related party receivables within selling, general and administrative expenses on the consolidated statement of operations for the nine months ended September 30, 2021. The $334 of the repaid principal balance of the Option Loans was recorded to equity. See Note “15. Share-Based Compensation”. </w:t></w:r></w:p><w:p><w:pPr><w:jc w:val="start"/></w:pPr><w:r><w:rPr><w:rFonts w:ascii="&quot;Times New Roman&quot;" w:hAnsi="&quot;Times New Roman&quot;" w:eastAsia="&quot;Times New Roman&quot;" w:cs="&quot;Times New Roman&quot;"/><w:sz w:val="20"/><w:szCs w:val="20"/><w:b w:val="1"/><w:bCs w:val="1"/><w:spacing w:val="0"/></w:rPr><w:t xml:space="preserve">20. Taxes </w:t></w:r></w:p><w:p><w:pPr><w:jc w:val="start"/></w:pPr><w:r><w:rPr><w:rFonts w:ascii="&quot;Times New Roman&quot;" w:hAnsi="&quot;Times New Roman&quot;" w:eastAsia="&quot;Times New Roman&quot;" w:cs="&quot;Times New Roman&quot;"/><w:sz w:val="20"/><w:szCs w:val="20"/><w:spacing w:val="0"/></w:rPr><w:t xml:space="preserve">The Company is principally subject to taxation in the United States. The Company has a history of net operating losses both federally and in various states and began utilizing those losses to offset current taxable income in 2020. The Company’s wholly-owned Swiss subsidiary, Organogenesis GmbH, is subject to taxation in Switzerland and generally has profits as a result of a transfer pricing arrangement in place with Organogenesis Inc., its U.S. parent and a wholly-owned subsidiary of the Company. </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The income tax rate for the nine months ended September 30, 2021 varied from the U.S. statutory rate of 21% primarily due to the utilization of net operating losses federally and in many states as well as the cash taxes in Switzerland. The Company maintains a full valuation allowance against its U.S. deferred tax assets and as such, the Company’s provision for income taxes primarily relates to cash taxes to be paid in certain states where the net operating losses are expected to be fully utilized or limited based on state statute. Income tax expense for the nine months ended September 30, 2021 was $990, which included a discrete tax expense of $31 related to the interest on certain uncertain tax positions. Income tax expense for the nine months ended September 30, 2020 was $134 and related primarily to state and foreign taxes. </w:t></w:r></w:p><w:p><w:pPr><w:jc w:val="start"/></w:pPr><w:r><w:rPr><w:rFonts w:ascii="&quot;Times New Roman&quot;" w:hAnsi="&quot;Times New Roman&quot;" w:eastAsia="&quot;Times New Roman&quot;" w:cs="&quot;Times New Roman&quot;"/><w:sz w:val="20"/><w:szCs w:val="20"/><w:spacing w:val="0"/></w:rPr><w:t xml:space="preserve">The Company examines all positive and negative evidence to estimate whether sufficient future taxable income in the U.S. will be generated to permit the use of existing deferred tax assets. The Company has significant negative evidence in the form of cumulative losses and believes that it is more likely than not that these United States deferred tax assets will not be util</w:t></w:r></w:p><w:p><w:pPr><w:jc w:val="start"/></w:pPr><w:r><w:rPr><w:rFonts w:ascii="&quot;Times New Roman&quot;" w:hAnsi="&quot;Times New Roman&quot;" w:eastAsia="&quot;Times New Roman&quot;" w:cs="&quot;Times New Roman&quot;"/><w:sz w:val="20"/><w:szCs w:val="20"/><w:spacing w:val="0"/></w:rPr><w:t xml:space="preserve">i</w:t></w:r></w:p><w:p><w:pPr><w:jc w:val="start"/></w:pPr><w:r><w:rPr><w:rFonts w:ascii="&quot;Times New Roman&quot;" w:hAnsi="&quot;Times New Roman&quot;" w:eastAsia="&quot;Times New Roman&quot;" w:cs="&quot;Times New Roman&quot;"/><w:sz w:val="20"/><w:szCs w:val="20"/><w:spacing w:val="0"/></w:rPr><w:t xml:space="preserve">zed. As such, the Company maintained the valuation allowance against its U.S. deferred tax asset as of September 30, 2021. There are no material deferred tax assets in the other jurisdictions. On a quarterly basis, the Company reassesses the valuation allowance on deferred income tax assets, weighing positive and negative evidence to assess the recoverability of the deferred tax assets. After assessing both the positive and negative evidence, the Company may determine it is more likely than not the deferred tax assets </w:t></w:r></w:p><w:p><w:pPr><w:jc w:val="start"/></w:pPr><w:r><w:rPr><w:rFonts w:ascii="&quot;Times New Roman&quot;" w:hAnsi="&quot;Times New Roman&quot;" w:eastAsia="&quot;Times New Roman&quot;" w:cs="&quot;Times New Roman&quot;"/><w:sz w:val="20"/><w:szCs w:val="20"/><w:spacing w:val="0"/></w:rPr><w:t xml:space="preserv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w:t></w:r></w:p><w:p><w:pPr><w:jc w:val="center"/></w:pPr><w:r><w:rPr><w:rFonts w:ascii="&quot;Times New Roman&quot;" w:hAnsi="&quot;Times New Roman&quot;" w:eastAsia="&quot;Times New Roman&quot;" w:cs="&quot;Times New Roman&quot;"/><w:sz w:val="20"/><w:szCs w:val="20"/><w:spacing w:val="0"/></w:rPr><w:t xml:space="preserve">4</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would be realized in the future and the Company would therefore release all or a portion of the valuation allowance related to the net operating loss carryforwards and other deferred tax assets. The Company will perform a study to determine if ownership changes, as defined by the Internal Revenue Code, have occurred that have limited the amount of net operating losses and research and development tax credit carryforwards that can be utilized annually to offset future taxable income. </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b w:val="1"/><w:bCs w:val="1"/><w:spacing w:val="0"/></w:rPr><w:t xml:space="preserve">21. Subsequent Events </w:t></w:r></w:p><w:p><w:pPr><w:jc w:val="start"/></w:pPr><w:r><w:rPr><w:rFonts w:ascii="&quot;Times New Roman&quot;" w:hAnsi="&quot;Times New Roman&quot;" w:eastAsia="&quot;Times New Roman&quot;" w:cs="&quot;Times New Roman&quot;"/><w:sz w:val="20"/><w:szCs w:val="20"/><w:spacing w:val="0"/></w:rPr><w:t xml:space="preserve">The Company has evaluated subsequent events through November 9, 2021, the date on which these consolidated financial statements were issued has determined that there were no such events to report.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w:t></w:r></w:p><w:p><w:pPr><w:jc w:val="center"/></w:pPr><w:r><w:rPr><w:rFonts w:ascii="&quot;Times New Roman&quot;" w:hAnsi="&quot;Times New Roman&quot;" w:eastAsia="&quot;Times New Roman&quot;" w:cs="&quot;Times New Roman&quot;"/><w:sz w:val="20"/><w:szCs w:val="20"/><w:spacing w:val="0"/></w:rPr><w:t xml:space="preserve">5</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hyperlink w:anchor="toc" w:history="1"><w:r><w:rPr/><w:t xml:space="preserve"></w:t></w:r></w:hyperlink></w:p><w:p><w:pPr><w:jc w:val="start"/></w:pPr><w:r><w:rPr><w:rFonts w:ascii="&quot;Times New Roman&quot;" w:hAnsi="&quot;Times New Roman&quot;" w:eastAsia="&quot;Times New Roman&quot;" w:cs="&quot;Times New Roman&quot;"/><w:sz w:val="20"/><w:szCs w:val="20"/><w:b w:val="1"/><w:bCs w:val="1"/><w:spacing w:val="0"/></w:rPr><w:t xml:space="preserve">Item 2. Management’s Discussion and Analysis of Financial Condition and Results of Operations. </w:t></w:r></w:p><w:p><w:pPr><w:jc w:val="start"/></w:pPr><w:r><w:rPr><w:rFonts w:ascii="Times New Roman" w:hAnsi="Times New Roman" w:eastAsia="Times New Roman" w:cs="Times New Roman"/><w:sz w:val="20"/><w:szCs w:val="20"/><w:i w:val="1"/><w:iCs w:val="1"/><w:spacing w:val="0"/></w:rPr><w:t xml:space="preserve">The following discussion and analysis should be read in conjunction with our financial statements and accompanying notes included in this Quarterly Report on Form </w:t></w:r></w:p><w:p><w:pPr><w:jc w:val="start"/></w:pPr><w:r><w:rPr><w:rFonts w:ascii="Times New Roman" w:hAnsi="Times New Roman" w:eastAsia="Times New Roman" w:cs="Times New Roman"/><w:sz w:val="20"/><w:szCs w:val="20"/><w:i w:val="1"/><w:iCs w:val="1"/><w:spacing w:val="0"/></w:rPr><w:t xml:space="preserve">10-Q</w:t></w:r></w:p><w:p><w:pPr><w:jc w:val="start"/></w:pPr><w:r><w:rPr><w:rFonts w:ascii="Times New Roman" w:hAnsi="Times New Roman" w:eastAsia="Times New Roman" w:cs="Times New Roman"/><w:sz w:val="20"/><w:szCs w:val="20"/><w:i w:val="1"/><w:iCs w:val="1"/><w:spacing w:val="0"/></w:rPr><w:t xml:space="preserve"> and the financial statements and accompanying notes thereto and Management’s Discussion and Analysis of Financial Condition and Results of Operations included in our Annual Report on Form </w:t></w:r></w:p><w:p><w:pPr><w:jc w:val="start"/></w:pPr><w:r><w:rPr><w:rFonts w:ascii="Times New Roman" w:hAnsi="Times New Roman" w:eastAsia="Times New Roman" w:cs="Times New Roman"/><w:sz w:val="20"/><w:szCs w:val="20"/><w:i w:val="1"/><w:iCs w:val="1"/><w:spacing w:val="0"/></w:rPr><w:t xml:space="preserve">10-K</w:t></w:r></w:p><w:p><w:pPr><w:jc w:val="start"/></w:pPr><w:r><w:rPr><w:rFonts w:ascii="Times New Roman" w:hAnsi="Times New Roman" w:eastAsia="Times New Roman" w:cs="Times New Roman"/><w:sz w:val="20"/><w:szCs w:val="20"/><w:i w:val="1"/><w:iCs w:val="1"/><w:spacing w:val="0"/></w:rPr><w:t xml:space="preserve"> for the fiscal year ended December 31, 2020, as amended, filed with the Securities and Exchange Commission, or SEC, on March 16, 2021, as amended. Please refer to our note regarding forward-looking statements on page 3 of this Form </w:t></w:r></w:p><w:p><w:pPr><w:jc w:val="start"/></w:pPr><w:r><w:rPr><w:rFonts w:ascii="Times New Roman" w:hAnsi="Times New Roman" w:eastAsia="Times New Roman" w:cs="Times New Roman"/><w:sz w:val="20"/><w:szCs w:val="20"/><w:i w:val="1"/><w:iCs w:val="1"/><w:spacing w:val="0"/></w:rPr><w:t xml:space="preserve">10-Q,</w:t></w:r></w:p><w:p><w:pPr><w:jc w:val="start"/></w:pPr><w:r><w:rPr><w:rFonts w:ascii="Times New Roman" w:hAnsi="Times New Roman" w:eastAsia="Times New Roman" w:cs="Times New Roman"/><w:sz w:val="20"/><w:szCs w:val="20"/><w:i w:val="1"/><w:iCs w:val="1"/><w:spacing w:val="0"/></w:rPr><w:t xml:space="preserve"> which is incorporated herein by this reference. </w:t></w:r></w:p><w:p><w:pPr><w:jc w:val="start"/></w:pPr><w:r><w:rPr><w:rFonts w:ascii="&quot;Times New Roman&quot;" w:hAnsi="&quot;Times New Roman&quot;" w:eastAsia="&quot;Times New Roman&quot;" w:cs="&quot;Times New Roman&quot;"/><w:sz w:val="20"/><w:szCs w:val="20"/><w:b w:val="1"/><w:bCs w:val="1"/><w:spacing w:val="0"/></w:rPr><w:t xml:space="preserve">Overview </w:t></w:r></w:p><w:p><w:pPr><w:jc w:val="start"/></w:pPr><w:r><w:rPr><w:rFonts w:ascii="Times New Roman" w:hAnsi="Times New Roman" w:eastAsia="Times New Roman" w:cs="Times New Roman"/><w:sz w:val="20"/><w:szCs w:val="20"/></w:rPr><w:t xml:space="preserve">Organogenesis is a leading regenerative medicine company focused on the development, manufacture, and commercialization of solutions for the Advanced Wound Care and Surgical &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and smoking. We offer our differentiated products and </w:t></w:r></w:p><w:p><w:pPr><w:jc w:val="start"/></w:pPr><w:r><w:rPr><w:rFonts w:ascii="Times New Roman" w:hAnsi="Times New Roman" w:eastAsia="Times New Roman" w:cs="Times New Roman"/><w:sz w:val="20"/><w:szCs w:val="20"/><w:spacing w:val="0"/></w:rPr><w:t xml:space="preserve">in-house</w:t></w:r></w:p><w:p><w:pPr><w:jc w:val="start"/></w:pPr><w:r><w:rPr><w:rFonts w:ascii="Times New Roman" w:hAnsi="Times New Roman" w:eastAsia="Times New Roman" w:cs="Times New Roman"/><w:sz w:val="20"/><w:szCs w:val="20"/></w:rPr><w:t xml:space="preserve"> customer support to a wide range of health care customers including hospitals, wound care centers, government facilities, ambulatory service centers (“ASCs”), and physician offices. Our mission is to provide integrated healing solutions that substantially improve medical outcomes and the lives of patients while lowering the overall cost of care. </w:t></w:r></w:p><w:p><w:pPr><w:jc w:val="start"/></w:pPr><w:r><w:rPr><w:rFonts w:ascii="&quot;Times New Roman&quot;" w:hAnsi="&quot;Times New Roman&quot;" w:eastAsia="&quot;Times New Roman&quot;" w:cs="&quot;Times New Roman&quot;"/><w:sz w:val="20"/><w:szCs w:val="20"/><w:spacing w:val="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approval, BLA approval or 510(k) clearance from the FDA. Given the extensive time and cost required to conduct clinical trials and receive FDA approvals, we believe that our data and regulatory approvals provide us a strong competitive advantage. Our product development expertise and multiple technology platforms provide a robust product pipeline, which we believe will drive future growth. </w:t></w:r></w:p><w:p><w:pPr><w:jc w:val="start"/></w:pPr><w:r><w:rPr><w:rFonts w:ascii="&quot;Times New Roman&quot;" w:hAnsi="&quot;Times New Roman&quot;" w:eastAsia="&quot;Times New Roman&quot;" w:cs="&quot;Times New Roman&quot;"/><w:sz w:val="20"/><w:szCs w:val="20"/><w:spacing w:val="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(“VLUs”) and diabetic foot ulcers (“DFUs”); Dermagraft for the treatment of DFUs; PuraPly AM and PuraPly XT as antimicrobial barriers for a broad variety of wound types; and the Affinity and NuShield wound coverings to address a variety of wound sizes and types. We have a highly trained and specialized direct wound care sales force paired with exceptional customer support services. </w:t></w:r></w:p><w:p><w:pPr><w:jc w:val="start"/></w:pPr><w:r><w:rPr><w:rFonts w:ascii="Times New Roman" w:hAnsi="Times New Roman" w:eastAsia="Times New Roman" w:cs="Times New Roman"/><w:sz w:val="20"/><w:szCs w:val="20"/></w:rPr><w:t xml:space="preserve">In the Surgical & Sports Medicine market, we focus on products that support the healing of musculoskeletal injuries, including degenerative conditions such as osteoarthritis and tendonitis. We are leveraging our regenerative medicine capabilities in this attractive, adjacent market. Our Surgical & Sports Medicine products include ReNu </w:t></w:r></w:p><w:p><w:pPr><w:jc w:val="start"/></w:pPr><w:r><w:rPr><w:rFonts w:ascii="Times New Roman" w:hAnsi="Times New Roman" w:eastAsia="Times New Roman" w:cs="Times New Roman"/><w:sz w:val="20"/><w:szCs w:val="20"/><w:spacing w:val="0"/></w:rPr><w:t xml:space="preserve">for in-office knee</w:t></w:r></w:p><w:p><w:pPr><w:jc w:val="start"/></w:pPr><w:r><w:rPr><w:rFonts w:ascii="Times New Roman" w:hAnsi="Times New Roman" w:eastAsia="Times New Roman" w:cs="Times New Roman"/><w:sz w:val="20"/><w:szCs w:val="20"/></w:rPr><w:t xml:space="preserve"> osteoarthritis treatment; NuShield and Affinity barrier products for surgical application in targeted soft tissue repairs; and PuraPly AM for management of open wounds in the surgical setting. We currently sell these products through independent agencies and our growing direct sales force other than ReNu and NuCel which we stopped marketing after May 31, 2021. Refer to further discussion in section “End of Enforcement Grace Period for ReNu and NuCel” below. </w:t></w:r></w:p><w:p><w:pPr><w:jc w:val="start"/></w:pPr><w:r><w:rPr><w:rFonts w:ascii="&quot;Times New Roman&quot;" w:hAnsi="&quot;Times New Roman&quot;" w:eastAsia="&quot;Times New Roman&quot;" w:cs="&quot;Times New Roman&quot;"/><w:sz w:val="20"/><w:szCs w:val="20"/><w:spacing w:val="0"/></w:rPr><w:t xml:space="preserve">On December 10, 2018, Avista Healthcare Public Acquisition Corp., our predecessor company (“AHPAC”), consummated a business combination (the “Avista Merger”) pursuant to an Agreement and Plan of Merger, dated as of August 17, 2018 (as amended, the “Avista Merger Agreement”), by and among AHPAC, Avista Healthcare Merger Sub, Inc., a direct wholly-owned subsidiary of AHPAC (“Avista Merger Sub”) and Organogenesis Inc. As a result of the Avista Merger and the other transactions contemplated by the Avista Merger Agreement, Avista Merger Sub merged with and into Organogenesis Inc., with Organogenesis Inc. surviving the Avista Merger and becoming a wholly-owned subsidiary of AHPAC. AHPAC changed its name to Organogenesis Holdings Inc. (ORGO). </w:t></w:r></w:p><w:p><w:pPr><w:jc w:val="start"/></w:pPr><w:r><w:rPr><w:rFonts w:ascii="&quot;Times New Roman&quot;" w:hAnsi="&quot;Times New Roman&quot;" w:eastAsia="&quot;Times New Roman&quot;" w:cs="&quot;Times New Roman&quot;"/><w:sz w:val="20"/><w:szCs w:val="20"/><w:spacing w:val="0"/></w:rPr><w:t xml:space="preserve">For the nine months ended September 30, 2021, we generated $339.5 million of net revenue and $43.2 million of net income compared to $231.5 million of net revenue and $1.1 million of net loss for the nine months ended September 30, 2020. We have incurred significant losses since inception and, while we have reported net income for the five consecutive quarters ended September 30, 2021, we may incur operating losses in the future as we expend resources as part of our efforts to grow our organization to support the planned expansion of our business. As of September 30, 2021, we had an accumulated deficit of $111.8 million. Our primary sources of capital to date have been from sales of our products, borrowings from related parties and institutional lenders and proceeds from the sale of our common stock. We operate in one segment of regenerative medicine.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COVID-19 pandemic</w:t></w:r></w:p><w:p><w:pPr><w:jc w:val="start"/></w:pPr><w:r><w:rPr><w:rFonts w:ascii="Times New Roman" w:hAnsi="Times New Roman" w:eastAsia="Times New Roman" w:cs="Times New Roman"/><w:sz w:val="20"/><w:szCs w:val="20"/></w:rPr><w:t xml:space="preserve">The emergence of the </w:t></w:r></w:p><w:p><w:pPr><w:jc w:val="start"/></w:pPr><w:r><w:rPr><w:rFonts w:ascii="Times New Roman" w:hAnsi="Times New Roman" w:eastAsia="Times New Roman" w:cs="Times New Roman"/><w:sz w:val="20"/><w:szCs w:val="20"/><w:spacing w:val="0"/></w:rPr><w:t xml:space="preserve">coronavirus (COVID-19) around</w:t></w:r></w:p><w:p><w:pPr><w:jc w:val="start"/></w:pPr><w:r><w:rPr><w:rFonts w:ascii="Times New Roman" w:hAnsi="Times New Roman" w:eastAsia="Times New Roman" w:cs="Times New Roman"/><w:sz w:val="20"/><w:szCs w:val="20"/></w:rPr><w:t xml:space="preserve"> the world, and particularly in the United States, continues to present risks to the Company. While </w:t></w:r></w:p><w:p><w:pPr><w:jc w:val="start"/></w:pPr><w:r><w:rPr><w:rFonts w:ascii="Times New Roman" w:hAnsi="Times New Roman" w:eastAsia="Times New Roman" w:cs="Times New Roman"/><w:sz w:val="20"/><w:szCs w:val="20"/><w:spacing w:val="0"/></w:rPr><w:t xml:space="preserve">the COVID-19 pandemic</w:t></w:r></w:p><w:p><w:pPr><w:jc w:val="start"/></w:pPr><w:r><w:rPr><w:rFonts w:ascii="Times New Roman" w:hAnsi="Times New Roman" w:eastAsia="Times New Roman" w:cs="Times New Roman"/><w:sz w:val="20"/><w:szCs w:val="20"/></w:rPr><w:t xml:space="preserve"> has not materially adversely affected our financial results and business operations through the third quarter ended September 30, 2021, we are unable to predict the impact </w:t></w:r></w:p><w:p><w:pPr><w:jc w:val="start"/></w:pPr><w:r><w:rPr><w:rFonts w:ascii="Times New Roman" w:hAnsi="Times New Roman" w:eastAsia="Times New Roman" w:cs="Times New Roman"/><w:sz w:val="20"/><w:szCs w:val="20"/><w:spacing w:val="0"/></w:rPr><w:t xml:space="preserve">that COVID-19 will</w:t></w:r></w:p><w:p><w:pPr><w:jc w:val="start"/></w:pPr><w:r><w:rPr><w:rFonts w:ascii="Times New Roman" w:hAnsi="Times New Roman" w:eastAsia="Times New Roman" w:cs="Times New Roman"/><w:sz w:val="20"/><w:szCs w:val="20"/></w:rPr><w:t xml:space="preserve"> have on our financial position and operating results because of the numerous uncertainties created by the unprecedented nature of the pandemic. We are closely monitoring the evolving impact of the pandemic on all aspects of our business. We have implemented a number of measures designed to protect the health and safety of our employees, support our customers and promote business continuity. We continue to evaluate the Company’s liquidity position, communicate with and monitor the actions of our customers and suppliers, and review our near-term financial performance as we manage the Company through this period of uncertainty. </w:t></w:r></w:p><w:p><w:pPr><w:jc w:val="start"/></w:pPr><w:r><w:rPr><w:rFonts w:ascii="&quot;Times New Roman&quot;" w:hAnsi="&quot;Times New Roman&quot;" w:eastAsia="&quot;Times New Roman&quot;" w:cs="&quot;Times New Roman&quot;"/><w:sz w:val="20"/><w:szCs w:val="20"/><w:b w:val="1"/><w:bCs w:val="1"/><w:i w:val="1"/><w:iCs w:val="1"/><w:spacing w:val="0"/></w:rPr><w:t xml:space="preserve">CPN Acquisition </w:t></w:r></w:p><w:p><w:pPr><w:jc w:val="start"/></w:pPr><w:r><w:rPr><w:rFonts w:ascii="Times New Roman" w:hAnsi="Times New Roman" w:eastAsia="Times New Roman" w:cs="Times New Roman"/><w:sz w:val="20"/><w:szCs w:val="20"/></w:rPr><w:t xml:space="preserve">On September 17, 2020, we acquired certain assets and assumed certain liabilities of CPN Biosciences, LLC (“CPN”) pursuant to an asset purchase agreement dated July 24, 2020. This transaction was accounted for as a business combination using the acquisition method of accounting in accordance with ASC Topic 805,</w:t></w:r></w:p><w:p><w:pPr><w:jc w:val="start"/></w:pPr><w:r><w:rPr><w:rFonts w:ascii="Times New Roman" w:hAnsi="Times New Roman" w:eastAsia="Times New Roman" w:cs="Times New Roman"/><w:sz w:val="20"/><w:szCs w:val="20"/><w:i w:val="1"/><w:iCs w:val="1"/><w:spacing w:val="0"/></w:rPr><w:t xml:space="preserve"> Business Combinations</w:t></w:r></w:p><w:p><w:pPr><w:jc w:val="start"/></w:pPr><w:r><w:rPr><w:rFonts w:ascii="Times New Roman" w:hAnsi="Times New Roman" w:eastAsia="Times New Roman" w:cs="Times New Roman"/><w:sz w:val="20"/><w:szCs w:val="20"/></w:rPr><w:t xml:space="preserve">. The aggregated consideration amounted to $19.0 million as of the acquisition date which consisted of $6.4 million in cash, 2,151,438 shares of our common stock with a fair value of $8.8 million, and a contingent consideration (the “Earnout”) with a fair value at such time of $3.8 million. At the closing, we paid $5.8 million in cash and issued 1,947,953 shares of our Class A common stock. The remaining consideration was held back and will be paid or issued, as applicable, eighteen months after the closing date, subject to any offsetting indemnification claims against CPN. The results of operations of CPN have been included in our consolidated financial statements beginning on the acquisition date. Revenue and expenses of CPN since the acquisition date were not material. </w:t></w:r></w:p><w:p><w:pPr><w:jc w:val="start"/></w:pPr><w:r><w:rPr><w:rFonts w:ascii="&quot;Times New Roman&quot;" w:hAnsi="&quot;Times New Roman&quot;" w:eastAsia="&quot;Times New Roman&quot;" w:cs="&quot;Times New Roman&quot;"/><w:sz w:val="20"/><w:szCs w:val="20"/><w:b w:val="1"/><w:bCs w:val="1"/><w:i w:val="1"/><w:iCs w:val="1"/><w:spacing w:val="0"/></w:rPr><w:t xml:space="preserve">End of Enforcement Grace Period for ReNu and NuCel </w:t></w:r></w:p><w:p><w:pPr><w:jc w:val="start"/></w:pPr><w:r><w:rPr><w:rFonts w:ascii="Times New Roman" w:hAnsi="Times New Roman" w:eastAsia="Times New Roman" w:cs="Times New Roman"/><w:sz w:val="20"/><w:szCs w:val="20"/></w:rPr><w:t xml:space="preserve">On November 16, 2017, the FDA issued a final guidance document entitled, “Regulatory Considerations for Human Cells, Tissues, and Cellular and Tissue-Based Products: Minimal Manipulation and Homologous Use”, or 361 HCT/P Guidance, which provided the FDA’s thinking on how to apply the existing regulatory criteria for regulation as a Section 361 HCT/P. The 361 HCT/P Guidance clarified the FDA’s views about the criteria that differentiate those products subject to regulation under Section 361 of the Public Health Service Act from those considered to be drugs, devices, and/or biological products subject to licensure under Section 351 and related regulations. The 361 HCT/P Guidance originally indicated that the FDA was providing a </w:t></w:r></w:p><w:p><w:pPr><w:jc w:val="start"/></w:pPr><w:r><w:rPr><w:rFonts w:ascii="Times New Roman" w:hAnsi="Times New Roman" w:eastAsia="Times New Roman" w:cs="Times New Roman"/><w:sz w:val="20"/><w:szCs w:val="20"/><w:spacing w:val="0"/></w:rPr><w:t xml:space="preserve">36-month</w:t></w:r></w:p><w:p><w:pPr><w:jc w:val="start"/></w:pPr><w:r><w:rPr><w:rFonts w:ascii="Times New Roman" w:hAnsi="Times New Roman" w:eastAsia="Times New Roman" w:cs="Times New Roman"/><w:sz w:val="20"/><w:szCs w:val="20"/></w:rPr><w:t xml:space="preserve"> enforcement grace period to allow time for distributors of HCT/Ps to make any regulatory submissions and obtain any premarket approvals necessary to comply with the guidance. In July 2020, the FDA announced that the enforcement grace period would be extended until May 31, 2021 as a result of the challenges presented by the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public health emergency. On April 21, 2021, the FDA reaffirmed that the enforcement grace period would end on May 31, 2021, at which time we ceased commercial distribution of ReNu and NuCel. We are continuing to conduct clinical studies of ReNu to support FDA approval of a Biologics License Application for the treatment of knee osteoarthritis and, based on favorable feasibility studies, we believe ReNu has potential as a treatment for additional osteoarthritis and tissue regeneration applications. Accordingly, we have decided to focus on clinical development of ReNu and discontinue clinical development of NuCel. </w:t></w:r></w:p><w:p><w:pPr><w:jc w:val="start"/></w:pPr><w:r><w:rPr><w:rFonts w:ascii="&quot;Times New Roman&quot;" w:hAnsi="&quot;Times New Roman&quot;" w:eastAsia="&quot;Times New Roman&quot;" w:cs="&quot;Times New Roman&quot;"/><w:sz w:val="20"/><w:szCs w:val="20"/><w:b w:val="1"/><w:bCs w:val="1"/><w:spacing w:val="0"/></w:rPr><w:t xml:space="preserve">Components of Our Consolidated Results of Operations </w:t></w:r></w:p><w:p><w:pPr><w:jc w:val="start"/></w:pPr><w:r><w:rPr><w:rFonts w:ascii="&quot;Times New Roman&quot;" w:hAnsi="&quot;Times New Roman&quot;" w:eastAsia="&quot;Times New Roman&quot;" w:cs="&quot;Times New Roman&quot;"/><w:sz w:val="20"/><w:szCs w:val="20"/><w:spacing w:val="0"/></w:rPr><w:t xml:space="preserve">In assessing the performance of our business, we consider a variety of performance and financial measures. We believe the items discussed below provide insight into the factors that affect these key measures. </w:t></w:r></w:p><w:p><w:pPr><w:jc w:val="start"/></w:pPr><w:r><w:rPr><w:rFonts w:ascii="&quot;Times New Roman&quot;" w:hAnsi="&quot;Times New Roman&quot;" w:eastAsia="&quot;Times New Roman&quot;" w:cs="&quot;Times New Roman&quot;"/><w:sz w:val="20"/><w:szCs w:val="20"/><w:b w:val="1"/><w:bCs w:val="1"/><w:i w:val="1"/><w:iCs w:val="1"/><w:spacing w:val="0"/></w:rPr><w:t xml:space="preserve">Revenue </w:t></w:r></w:p><w:p><w:pPr><w:jc w:val="start"/></w:pPr><w:r><w:rPr><w:rFonts w:ascii="&quot;Times New Roman&quot;" w:hAnsi="&quot;Times New Roman&quot;" w:eastAsia="&quot;Times New Roman&quot;" w:cs="&quot;Times New Roman&quot;"/><w:sz w:val="20"/><w:szCs w:val="20"/><w:spacing w:val="0"/></w:rPr><w:t xml:space="preserve">We derive our net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third-party agencies. As of September 30, 2021, we had approximately 330 direct sales representatives and approximately 190 independent agencies. </w:t></w:r></w:p><w:p><w:pPr><w:jc w:val="start"/></w:pPr><w:r><w:rPr><w:rFonts w:ascii="&quot;Times New Roman&quot;" w:hAnsi="&quot;Times New Roman&quot;" w:eastAsia="&quot;Times New Roman&quot;" w:cs="&quot;Times New Roman&quot;"/><w:sz w:val="20"/><w:szCs w:val="20"/><w:spacing w:val="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of a contract. We record revenue net of a reserve for returns, discounts and GPO rebates, which represent a direct reduction to the revenue we recognize.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hyperlink w:anchor="toc" w:history="1"><w:r><w:rPr/><w:t xml:space="preserve"></w:t></w:r></w:hyperlink></w:p><w:p><w:pPr><w:jc w:val="start"/></w:pPr><w:r><w:rPr><w:rFonts w:ascii="&quot;Times New Roman&quot;" w:hAnsi="&quot;Times New Roman&quot;" w:eastAsia="&quot;Times New Roman&quot;" w:cs="&quot;Times New Roman&quot;"/><w:sz w:val="20"/><w:szCs w:val="20"/><w:spacing w:val="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 </w:t></w:r></w:p><w:p><w:pPr><w:jc w:val="start"/></w:pPr><w:r><w:rPr><w:rFonts w:ascii="Times New Roman" w:hAnsi="Times New Roman" w:eastAsia="Times New Roman" w:cs="Times New Roman"/><w:sz w:val="20"/><w:szCs w:val="20"/></w:rPr><w:t xml:space="preserve">Included within our product revenue are our PuraPly and PuraPly AM products. We launched PuraPly </w:t></w:r></w:p><w:p><w:pPr><w:jc w:val="start"/></w:pPr><w:r><w:rPr><w:rFonts w:ascii="Times New Roman" w:hAnsi="Times New Roman" w:eastAsia="Times New Roman" w:cs="Times New Roman"/><w:sz w:val="20"/><w:szCs w:val="20"/><w:spacing w:val="0"/></w:rPr><w:t xml:space="preserve">in mid-2015 and</w:t></w:r></w:p><w:p><w:pPr><w:jc w:val="start"/></w:pPr><w:r><w:rPr><w:rFonts w:ascii="Times New Roman" w:hAnsi="Times New Roman" w:eastAsia="Times New Roman" w:cs="Times New Roman"/><w:sz w:val="20"/><w:szCs w:val="20"/></w:rPr><w:t xml:space="preserve"> introduced PuraPly AM in 2016. In order to encourage the development of innovative medical devices, drugs and biologics, CMS can grant new products an additional “pass-through payment” in addition to the bundled payment amount for a limited period of no more than three years. Our PuraPly and PuraPly AM products were granted pass-through status from launch through December 31, 2017, which created an economic incentive for practitioners to use PuraPly and PuraPly AM over other skin substitutes. As a result, we saw increases in revenue related to these products in 2017. Beginning January 1, 2018, PuraPly AM and PuraPly transitioned to the bundled payment structure for skin substitutes, which provides for </w:t></w:r></w:p><w:p><w:pPr><w:jc w:val="start"/></w:pPr><w:r><w:rPr><w:rFonts w:ascii="Times New Roman" w:hAnsi="Times New Roman" w:eastAsia="Times New Roman" w:cs="Times New Roman"/><w:sz w:val="20"/><w:szCs w:val="20"/><w:spacing w:val="0"/></w:rPr><w:t xml:space="preserve">a two-tiered payment</w:t></w:r></w:p><w:p><w:pPr><w:jc w:val="start"/></w:pPr><w:r><w:rPr><w:rFonts w:ascii="Times New Roman" w:hAnsi="Times New Roman" w:eastAsia="Times New Roman" w:cs="Times New Roman"/><w:sz w:val="20"/><w:szCs w:val="20"/></w:rPr><w:t xml:space="preserve"> system in the hospital outpatient and ASC setting. </w:t></w:r></w:p><w:p><w:pPr><w:jc w:val="start"/></w:pPr><w:r><w:rPr><w:rFonts w:ascii="Times New Roman" w:hAnsi="Times New Roman" w:eastAsia="Times New Roman" w:cs="Times New Roman"/><w:sz w:val="20"/><w:szCs w:val="20"/><w:spacing w:val="0"/></w:rPr><w:t xml:space="preserve">The two-tiered Medicare</w:t></w:r></w:p><w:p><w:pPr><w:jc w:val="start"/></w:pPr><w:r><w:rPr><w:rFonts w:ascii="Times New Roman" w:hAnsi="Times New Roman" w:eastAsia="Times New Roman" w:cs="Times New Roman"/><w:sz w:val="20"/><w:szCs w:val="20"/></w:rPr><w:t xml:space="preserve"> payment system bundles payment for our Advanced Wound Care products (and all skin substitutes) into the payment for the procedure for applying the skin substitute, resulting in a single payment to the provider that includes reimbursement for both the procedure and the product itself. As a result of the transition to the bundled payment structure, total Medicare reimbursement for procedures using our PuraPly AM and PuraPly products decreased substantially. This reduction in reimbursement resulted in a substantial decrease in revenue from our PuraPly AM and PuraPly products during the first nine months of 2018 and had a negative effect on our business, results of operations and financial condition. On March 23, 2018, Congress passed, and the President signed into law, the Consolidated Appropriations Act of 2018, or the Act. The Act restored the pass-through status of PuraPly and PuraPly AM from October 1, 2018 through September 30, 2020. As a result, during this period, Medicare resumed making pass-through payments to hospitals using PuraPly and PuraPly AM in the outpatient hospital setting and in ASCs. With the expiration of pass-through reimbursement status on September 30, 2020, we anticipated that our net revenue from PuraPly and PuraPly AM might decrease as they transitioned to the bundled payment structure. As of September 30, 2021, we have not observed such a decrease primarily due to increased adoption, by existing and new customers, of our PuraPly line extensions launched in the second half of 2020 as well as expanded sites of care. </w:t></w:r></w:p><w:p><w:pPr><w:jc w:val="start"/></w:pPr><w:r><w:rPr><w:rFonts w:ascii="&quot;Times New Roman&quot;" w:hAnsi="&quot;Times New Roman&quot;" w:eastAsia="&quot;Times New Roman&quot;" w:cs="&quot;Times New Roman&quot;"/><w:sz w:val="20"/><w:szCs w:val="20"/><w:b w:val="1"/><w:bCs w:val="1"/><w:i w:val="1"/><w:iCs w:val="1"/><w:spacing w:val="0"/></w:rPr><w:t xml:space="preserve">Cost of goods sold, gross profit and gross profit margin </w:t></w:r></w:p><w:p><w:pPr><w:jc w:val="start"/></w:pPr><w:r><w:rPr><w:rFonts w:ascii="&quot;Times New Roman&quot;" w:hAnsi="&quot;Times New Roman&quot;" w:eastAsia="&quot;Times New Roman&quot;" w:cs="&quot;Times New Roman&quot;"/><w:sz w:val="20"/><w:szCs w:val="20"/><w:spacing w:val="0"/></w:rPr><w:t xml:space="preserve">Cost of goods sold includes personnel costs, product testing costs, quality assurance costs, raw materials and product costs, manufacturing costs, and the costs associated with our manufacturing and warehouse facilities. The increases in our cost of goods sold correspond with the increases in sales units driven by the expansion of our sales force and sales territories, expansion of our product portfolio offerings, and the number of healthcare facilities that offer our products. We expect our cost of goods sold to increase due primarily to anticipated increased sales volumes. </w:t></w:r></w:p><w:p><w:pPr><w:jc w:val="start"/></w:pPr><w:r><w:rPr><w:rFonts w:ascii="&quot;Times New Roman&quot;" w:hAnsi="&quot;Times New Roman&quot;" w:eastAsia="&quot;Times New Roman&quot;" w:cs="&quot;Times New Roman&quot;"/><w:sz w:val="20"/><w:szCs w:val="20"/><w:spacing w:val="0"/></w:rPr><w:t xml:space="preserve">Gross profit is calculated as net revenue less cost of goods sold and generally increases as revenue increases. Gross profit margin is calculated as gross profit divided by total net revenue. Our gross profit and gross profit margin are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 and gross profit margin. </w:t></w:r></w:p><w:p><w:pPr><w:jc w:val="start"/></w:pPr><w:r><w:rPr><w:rFonts w:ascii="&quot;Times New Roman&quot;" w:hAnsi="&quot;Times New Roman&quot;" w:eastAsia="&quot;Times New Roman&quot;" w:cs="&quot;Times New Roman&quot;"/><w:sz w:val="20"/><w:szCs w:val="20"/><w:b w:val="1"/><w:bCs w:val="1"/><w:i w:val="1"/><w:iCs w:val="1"/><w:spacing w:val="0"/></w:rPr><w:t xml:space="preserve">Selling, general and administrative expenses </w:t></w:r></w:p><w:p><w:pPr><w:jc w:val="start"/></w:pPr><w:r><w:rPr><w:rFonts w:ascii="&quot;Times New Roman&quot;" w:hAnsi="&quot;Times New Roman&quot;" w:eastAsia="&quot;Times New Roman&quot;" w:cs="&quot;Times New Roman&quot;"/><w:sz w:val="20"/><w:szCs w:val="20"/><w:spacing w:val="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 </w:t></w:r></w:p><w:p><w:pPr><w:jc w:val="start"/></w:pPr><w:r><w:rPr><w:rFonts w:ascii="&quot;Times New Roman&quot;" w:hAnsi="&quot;Times New Roman&quot;" w:eastAsia="&quot;Times New Roman&quot;" w:cs="&quot;Times New Roman&quot;"/><w:sz w:val="20"/><w:szCs w:val="20"/><w:b w:val="1"/><w:bCs w:val="1"/><w:i w:val="1"/><w:iCs w:val="1"/><w:spacing w:val="0"/></w:rPr><w:t xml:space="preserve">Research and development expenses </w:t></w:r></w:p><w:p><w:pPr><w:jc w:val="start"/></w:pPr><w:r><w:rPr><w:rFonts w:ascii="&quot;Times New Roman&quot;" w:hAnsi="&quot;Times New Roman&quot;" w:eastAsia="&quot;Times New Roman&quot;" w:cs="&quot;Times New Roman&quot;"/><w:sz w:val="20"/><w:szCs w:val="20"/><w:spacing w:val="0"/></w:rPr><w:t xml:space="preserve">Research and development expenses include personnel costs for our research and development personnel, expenses related to improvements in our manufacturing processes, enhancements to our currently available products, and additional investments in our product and platform development pipeline. Our research and development expenses also include expenses for clinical trials. We expense research and development costs as incurred. We generally expect that research and development expenses will increase as we continue to conduct clinical trials on new and existing products, move products through the regulatory pathway (e.g., seek BLA approval), add personnel to support product enhancements as well as to bring new products to market, and enhance our manufacturing process and procedures.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Other expense, net </w:t></w:r></w:p><w:p><w:pPr><w:jc w:val="start"/></w:pPr><w:r><w:rPr><w:rFonts w:ascii="Times New Roman" w:hAnsi="Times New Roman" w:eastAsia="Times New Roman" w:cs="Times New Roman"/><w:sz w:val="20"/><w:szCs w:val="20"/><w:i w:val="1"/><w:iCs w:val="1"/><w:spacing w:val="0"/></w:rPr><w:t xml:space="preserve">Interest expense, net</w:t></w:r></w:p><w:p><w:pPr><w:jc w:val="start"/></w:pPr><w:r><w:rPr><w:rFonts w:ascii="Times New Roman" w:hAnsi="Times New Roman" w:eastAsia="Times New Roman" w:cs="Times New Roman"/><w:sz w:val="20"/><w:szCs w:val="20"/></w:rPr><w:t xml:space="preserve">—Interest expense, net consists of interest on our outstanding indebtedness, including amortization of debt discount and debt issuance costs, net of interest income recognized. </w:t></w:r></w:p><w:p><w:pPr><w:jc w:val="start"/></w:pPr><w:r><w:rPr><w:rFonts w:ascii="Times New Roman" w:hAnsi="Times New Roman" w:eastAsia="Times New Roman" w:cs="Times New Roman"/><w:sz w:val="20"/><w:szCs w:val="20"/><w:i w:val="1"/><w:iCs w:val="1"/><w:spacing w:val="0"/></w:rPr><w:t xml:space="preserve">Gain on settlement of deferr</w:t></w:r></w:p><w:p><w:pPr><w:jc w:val="start"/></w:pPr><w:r><w:rPr><w:rFonts w:ascii="Times New Roman" w:hAnsi="Times New Roman" w:eastAsia="Times New Roman" w:cs="Times New Roman"/><w:sz w:val="20"/><w:szCs w:val="20"/><w:i w:val="1"/><w:iCs w:val="1"/><w:spacing w:val="0"/></w:rPr><w:t xml:space="preserve">ed acquisition consideration</w:t></w:r></w:p><w:p><w:pPr><w:jc w:val="start"/></w:pPr><w:r><w:rPr><w:rFonts w:ascii="Times New Roman" w:hAnsi="Times New Roman" w:eastAsia="Times New Roman" w:cs="Times New Roman"/><w:sz w:val="20"/><w:szCs w:val="20"/></w:rPr><w:t xml:space="preserve">—In February 2020, we settled the dispute on the $5.0 million deferred purchase acquisition consideration with the sellers of NuTech Medical for $4.0 million and assumed from the sellers of NuTech Medical the responsibilities related to a legacy lawsuit of NuTech Medical, which was settled in October 2020. In connection with the settlement of this dispute and the legacy lawsuit, we recorded a gain of $1.3 million and $1.0 million for the three months ended March 31, 2020 and September 30, 2020, respectively. </w:t></w:r></w:p><w:p><w:pPr><w:jc w:val="start"/></w:pPr><w:r><w:rPr><w:rFonts w:ascii="Times New Roman" w:hAnsi="Times New Roman" w:eastAsia="Times New Roman" w:cs="Times New Roman"/><w:sz w:val="20"/><w:szCs w:val="20"/><w:i w:val="1"/><w:iCs w:val="1"/><w:spacing w:val="0"/></w:rPr><w:t xml:space="preserve">Loss on the extinguishment of debt</w:t></w:r></w:p><w:p><w:pPr><w:jc w:val="start"/></w:pPr><w:r><w:rPr><w:rFonts w:ascii="Times New Roman" w:hAnsi="Times New Roman" w:eastAsia="Times New Roman" w:cs="Times New Roman"/><w:sz w:val="20"/><w:szCs w:val="20"/></w:rPr><w:t xml:space="preserve">—In August 2021, upon entering into the 2021 Credit Agreement, we paid an aggregate amount of $70.6 million associated with the termination of the 2019 Credit Agreement, including unpaid principal, accrued interest, the Final Payment and a prepayment fee. We recognized $1.9 million as loss on the extinguishment of the loan for the nine months ended September 30, 2021. </w:t></w:r></w:p><w:p><w:pPr><w:jc w:val="start"/></w:pPr><w:r><w:rPr><w:rFonts w:ascii="&quot;Times New Roman&quot;" w:hAnsi="&quot;Times New Roman&quot;" w:eastAsia="&quot;Times New Roman&quot;" w:cs="&quot;Times New Roman&quot;"/><w:sz w:val="20"/><w:szCs w:val="20"/><w:b w:val="1"/><w:bCs w:val="1"/><w:i w:val="1"/><w:iCs w:val="1"/><w:spacing w:val="0"/></w:rPr><w:t xml:space="preserve">Income taxes </w:t></w:r></w:p><w:p><w:pPr><w:jc w:val="start"/></w:pPr><w:r><w:rPr><w:rFonts w:ascii="&quot;Times New Roman&quot;" w:hAnsi="&quot;Times New Roman&quot;" w:eastAsia="&quot;Times New Roman&quot;" w:cs="&quot;Times New Roman&quot;"/><w:sz w:val="20"/><w:szCs w:val="20"/><w:spacing w:val="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 </w:t></w:r></w:p><w:p><w:pPr><w:jc w:val="start"/></w:pPr><w:r><w:rPr><w:rFonts w:ascii="&quot;Times New Roman&quot;" w:hAnsi="&quot;Times New Roman&quot;" w:eastAsia="&quot;Times New Roman&quot;" w:cs="&quot;Times New Roman&quot;"/><w:sz w:val="20"/><w:szCs w:val="20"/><w:spacing w:val="0"/></w:rPr><w:t xml:space="preserve">In determining whether a valuation allowance for deferred tax assets is necessary, we analyze both positive and negative evidence related to the realization of deferred tax assets and inherent in that, assess the likelihood of sufficient future taxable income. We also consider the expected reversal of deferred tax liabilities and analyze the period in which these liabilities would be expected to reverse to determine whether the taxable temporary difference amounts serve as an adequate source of future taxable income to support realizability of the deferred tax assets. In addition, we consider whether it is more likely than not that the tax position will be sustained on examination by taxing authorities based on the technical merits of the position. Based on a consideration of the factors discussed above, we have determined that a valuation allowance is necessary against the full amount of our net U.S. deferred tax assets. </w:t></w:r></w:p><w:p><w:pPr><w:jc w:val="start"/></w:pPr><w:r><w:rPr><w:rFonts w:ascii="&quot;Times New Roman&quot;" w:hAnsi="&quot;Times New Roman&quot;" w:eastAsia="&quot;Times New Roman&quot;" w:cs="&quot;Times New Roman&quot;"/><w:sz w:val="20"/><w:szCs w:val="20"/><w:spacing w:val="0"/></w:rPr><w:t xml:space="preserve">Our U.S. provision for income taxes relates to current tax expense associated with taxable income that could not be offset by state net operating losses. We will utilize net operating losses to offset all of the projected 2021 federal taxable income; but have exhausted net operating losses and are subject to limitations in the net operating loss utilization in certain states. We have also recorded a foreign provision for income taxes related to our wholly-owned subsidiary in Switzerland. </w:t></w:r></w:p><w:p><w:pPr><w:jc w:val="start"/></w:pPr><w:r><w:rPr><w:rFonts w:ascii="Times New Roman" w:hAnsi="Times New Roman" w:eastAsia="Times New Roman" w:cs="Times New Roman"/><w:sz w:val="20"/><w:szCs w:val="20"/></w:rPr><w:t xml:space="preserve">We account for uncertainty in income taxes recognized in the consolidated financial statements by applying </w:t></w:r></w:p><w:p><w:pPr><w:jc w:val="start"/></w:pPr><w:r><w:rPr><w:rFonts w:ascii="Times New Roman" w:hAnsi="Times New Roman" w:eastAsia="Times New Roman" w:cs="Times New Roman"/><w:sz w:val="20"/><w:szCs w:val="20"/><w:spacing w:val="0"/></w:rPr><w:t xml:space="preserve">a two-step process</w:t></w:r></w:p><w:p><w:pPr><w:jc w:val="start"/></w:pPr><w:r><w:rPr><w:rFonts w:ascii="Times New Roman" w:hAnsi="Times New Roman" w:eastAsia="Times New Roman" w:cs="Times New Roman"/><w:sz w:val="20"/><w:szCs w:val="20"/></w:rPr><w:t xml:space="preserve"> to determine the amount of tax benefit to be recognized. First, the tax position must be evaluated to determine the likelihood that it will be sustained upon external examination by the taxing authorities. If the tax position is </w:t></w:r></w:p><w:p><w:pPr><w:jc w:val="start"/></w:pPr><w:r><w:rPr><w:rFonts w:ascii="Times New Roman" w:hAnsi="Times New Roman" w:eastAsia="Times New Roman" w:cs="Times New Roman"/><w:sz w:val="20"/><w:szCs w:val="20"/><w:spacing w:val="0"/></w:rPr><w:t xml:space="preserve">deemed more-likely-than-not to</w:t></w:r></w:p><w:p><w:pPr><w:jc w:val="start"/></w:pPr><w:r><w:rPr><w:rFonts w:ascii="Times New Roman" w:hAnsi="Times New Roman" w:eastAsia="Times New Roman" w:cs="Times New Roman"/><w:sz w:val="20"/><w:szCs w:val="20"/></w:rPr><w:t xml:space="preserve"> be sustained, the tax position is then assessed to determine the amount of benefit to recognize in the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Results of Operations </w:t></w:r></w:p><w:p><w:pPr><w:jc w:val="start"/></w:pPr><w:r><w:rPr><w:rFonts w:ascii="&quot;Times New Roman&quot;" w:hAnsi="&quot;Times New Roman&quot;" w:eastAsia="&quot;Times New Roman&quot;" w:cs="&quot;Times New Roman&quot;"/><w:sz w:val="20"/><w:szCs w:val="20"/><w:spacing w:val="0"/></w:rPr><w:t xml:space="preserve">The following table sets forth, for the periods indicated, our results of operations: </w:t></w:r></w:p><w:p><w:pPr><w:jc w:val="start"/></w:pPr><w:r><w:rPr><w:sz w:val="24"/><w:szCs w:val="24"/><w:spacing w:val="0"/></w:rPr><w:t xml:space="preserve"> </w:t></w:r></w:p><w:tbl><w:tblGrid><w:gridCol w:w="3150" w:type="dxa"/><w:gridCol w:w="150" w:type="dxa"/><w:gridCol w:w="4600" w:type="dxa"/><w:gridCol w:w="4600" w:type="dxa"/><w:gridCol w:w="4600" w:type="dxa"/><w:gridCol w:w="100" w:type="dxa"/><w:gridCol w:w="4600" w:type="dxa"/><w:gridCol w:w="4600" w:type="dxa"/><w:gridCol w:w="4600" w:type="dxa"/><w:gridCol w:w="100" w:type="dxa"/><w:gridCol w:w="4600" w:type="dxa"/><w:gridCol w:w="4600" w:type="dxa"/><w:gridCol w:w="4600" w:type="dxa"/><w:gridCol w:w="100" w:type="dxa"/><w:gridCol w:w="4600" w:type="dxa"/><w:gridCol w:w="4600" w:type="dxa"/><w:gridCol w:w="4600" w:type="dxa"/></w:tblGrid><w:tblPr><w:tblW w:w="4600" w:type="pct"/><w:tblCellSpacing w:w="0" w:type="dxa"/><w:tblLayout w:type="autofit"/></w:tblPr><w:tr><w:trPr/><w:tc><w:tcPr><w:tcW w:w="3150" w:type="pct"/><w:noWrap/></w:tcPr><w:p><w:pPr/></w:p></w:tc><w:tc><w:tcPr><w:tcW w:w="15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Nine Months Ended</w:t></w:r><w:br/><w:r><w:rPr><w:rFonts w:ascii="Times New Roman" w:hAnsi="Times New Roman" w:eastAsia="Times New Roman" w:cs="Times New Roman"/><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revenue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113,753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100,799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339,501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231,491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Cost of goods sold</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26,167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22,964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81,602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61,799</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Gross profit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87,586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77,835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257,899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169,692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Operating expenses:</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Selling, general and administrative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62,369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51,325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182,950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150,797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Research and development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8,953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3,709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22,482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13,787</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operating expenses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71,322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55,034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205,432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164,584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Income from operations</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16,264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22,801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52,467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5,108</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 expense, net: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r><w:tr><w:trPr/><w:tc><w:tcPr><w:tcW w:w="4600" w:type="pct"/><w:vAlign w:val="top"/><w:noWrap/></w:tcPr><w:p><w:pPr/><w:r><w:rPr><w:rFonts w:ascii="&quot;Times New Roman&quot;" w:hAnsi="&quot;Times New Roman&quot;" w:eastAsia="&quot;Times New Roman&quot;" w:cs="&quot;Times New Roman&quot;"/><w:sz w:val="20"/><w:szCs w:val="20"/><w:spacing w:val="0"/></w:rPr><w:t xml:space="preserve">Interest expense, net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(1,482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(2,969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(6,383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(8,391</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Loss on extinguishment of debt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(1,883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(1,883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Gain on settlement of deferred acquisition consideration</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951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2,246</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 income, net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Total other expense, net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(3,384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(1,974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(8,270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(6,055</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 (loss) before income taxes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12,880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20,827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44,197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(947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Income tax expense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(303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(72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(990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(134</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 (loss)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12,577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20,755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43,207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(1,081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b w:val="1"/><w:bCs w:val="1"/><w:spacing w:val="0"/></w:rPr><w:t xml:space="preserve">EBITDA and Adjusted EBITDA </w:t></w:r></w:p><w:p><w:pPr><w:jc w:val="start"/></w:pPr><w:r><w:rPr><w:rFonts w:ascii="Times New Roman" w:hAnsi="Times New Roman" w:eastAsia="Times New Roman" w:cs="Times New Roman"/><w:sz w:val="20"/><w:szCs w:val="20"/></w:rPr><w:t xml:space="preserve">Our management uses financial measures that are not in accordance with generally accepted accounting principles in the United States, or GAAP, in addition to financial measures in accordance with GAAP to evaluate our operating results. </w:t></w:r></w:p><w:p><w:pPr><w:jc w:val="start"/></w:pPr><w:r><w:rPr><w:rFonts w:ascii="Times New Roman" w:hAnsi="Times New Roman" w:eastAsia="Times New Roman" w:cs="Times New Roman"/><w:sz w:val="20"/><w:szCs w:val="20"/><w:spacing w:val="0"/></w:rPr><w:t xml:space="preserve">These non-GAAP financial</w:t></w:r></w:p><w:p><w:pPr><w:jc w:val="start"/></w:pPr><w:r><w:rPr><w:rFonts w:ascii="Times New Roman" w:hAnsi="Times New Roman" w:eastAsia="Times New Roman" w:cs="Times New Roman"/><w:sz w:val="20"/><w:szCs w:val="20"/></w:rPr><w:t xml:space="preserve">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30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The following is a reconciliation of GAAP net income (loss) to </w:t></w:r></w:p><w:p><w:pPr><w:jc w:val="start"/></w:pPr><w:r><w:rPr><w:rFonts w:ascii="Times New Roman" w:hAnsi="Times New Roman" w:eastAsia="Times New Roman" w:cs="Times New Roman"/><w:sz w:val="20"/><w:szCs w:val="20"/><w:spacing w:val="0"/></w:rPr><w:t xml:space="preserve">non-GAAP</w:t></w:r></w:p><w:p><w:pPr><w:jc w:val="start"/></w:pPr><w:r><w:rPr><w:rFonts w:ascii="Times New Roman" w:hAnsi="Times New Roman" w:eastAsia="Times New Roman" w:cs="Times New Roman"/><w:sz w:val="20"/><w:szCs w:val="20"/></w:rPr><w:t xml:space="preserve"> EBITDA and </w:t></w:r></w:p><w:p><w:pPr><w:jc w:val="start"/></w:pPr><w:r><w:rPr><w:rFonts w:ascii="Times New Roman" w:hAnsi="Times New Roman" w:eastAsia="Times New Roman" w:cs="Times New Roman"/><w:sz w:val="20"/><w:szCs w:val="20"/><w:spacing w:val="0"/></w:rPr><w:t xml:space="preserve">non-GAAP</w:t></w:r></w:p><w:p><w:pPr><w:jc w:val="start"/></w:pPr><w:r><w:rPr><w:rFonts w:ascii="Times New Roman" w:hAnsi="Times New Roman" w:eastAsia="Times New Roman" w:cs="Times New Roman"/><w:sz w:val="20"/><w:szCs w:val="20"/></w:rPr><w:t xml:space="preserve"> Adjusted EBITDA for each of the periods presented: </w:t></w:r></w:p><w:p><w:pPr><w:jc w:val="start"/></w:pPr><w:r><w:rPr><w:sz w:val="24"/><w:szCs w:val="24"/><w:spacing w:val="0"/></w:rPr><w:t xml:space="preserve"> </w:t></w:r></w:p><w:tbl><w:tblGrid><w:gridCol w:w="3350" w:type="dxa"/><w:gridCol w:w="150" w:type="dxa"/><w:gridCol w:w="4600" w:type="dxa"/><w:gridCol w:w="4600" w:type="dxa"/><w:gridCol w:w="4600" w:type="dxa"/><w:gridCol w:w="100" w:type="dxa"/><w:gridCol w:w="4600" w:type="dxa"/><w:gridCol w:w="4600" w:type="dxa"/><w:gridCol w:w="4600" w:type="dxa"/><w:gridCol w:w="100" w:type="dxa"/><w:gridCol w:w="4600" w:type="dxa"/><w:gridCol w:w="4600" w:type="dxa"/><w:gridCol w:w="4600" w:type="dxa"/><w:gridCol w:w="100" w:type="dxa"/><w:gridCol w:w="4600" w:type="dxa"/><w:gridCol w:w="4600" w:type="dxa"/><w:gridCol w:w="4600" w:type="dxa"/></w:tblGrid><w:tblPr><w:tblW w:w="4600" w:type="pct"/><w:tblCellSpacing w:w="0" w:type="dxa"/><w:tblLayout w:type="autofit"/></w:tblPr><w:tr><w:trPr/><w:tc><w:tcPr><w:tcW w:w="3350" w:type="pct"/><w:noWrap/></w:tcPr><w:p><w:pPr/></w:p></w:tc><w:tc><w:tcPr><w:tcW w:w="15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Nine Months Ended</w:t></w:r><w:br/><w:r><w:rPr><w:rFonts w:ascii="Times New Roman" w:hAnsi="Times New Roman" w:eastAsia="Times New Roman" w:cs="Times New Roman"/><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6"/><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6"/><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(in thousands)</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(in thousands)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 (loss)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12,577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20,755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43,207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(1,081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Interest expense, net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1,482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2,969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6,383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8,391</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Income tax expense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303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990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134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Depreciation</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1,937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1,135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4,010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3,285</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Amortization</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1,240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885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3,726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2,518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EBITDA</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17,539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25,816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58,316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13,247</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Stock-based compensation expense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1,041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486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2,781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1,164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Gain on settlement of deferred acquisition consideration (1)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(951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(2,246</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Recovery of certain notes receivable from related parties (2)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(1,111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(179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(1,111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Change in fair value of Earnout (3)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(927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(3,985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Restructuring charge (4)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1,010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2,876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Transaction cost (5)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361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929</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Loss on extinguishment of debt (6)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1,883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1,883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Write-off</w:t></w:r><w:r><w:rPr><w:rFonts w:ascii="&quot;Times New Roman&quot;" w:hAnsi="&quot;Times New Roman&quot;" w:eastAsia="&quot;Times New Roman&quot;" w:cs="&quot;Times New Roman&quot;"/><w:sz w:val="20"/><w:szCs w:val="20"/></w:rPr><w:t xml:space="preserve"> of a fixed asset (7)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1,104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1,104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Cancellation fee (8)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1,950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Adjusted EBITDA</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21,650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24,601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62,796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13,933</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(1)</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Amounts reflect the gain recognized related to the settlement of the deferred acquisition consideration dispute with the sellers of NuTech Medical in February 2020 as well as the settlement of the assumed legacy lawsuit from the sellers of NuTech Medical in October 2020. See Note “18. Commitments and Contingencies”.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(2)</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Amounts reflect the collection of certain notes receivable from related parties previously reserved. See Note “19. Related Party Transactions”.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(3)</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Amounts reflect the change in the fair value of the Earnout liability in connection with the CPN acquisition. See Note “3. Acquisition”.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(4)</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Amounts reflect employee retention and benefits as well as the facility-related cost associated with the Company’s restructuring activities. See Note “12. Restructuring”.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(5)</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Amounts reflect legal, advisory and other professional fees incurred related directly to the CPN acquisition. See Note “3. Acquisition”.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(6)</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Amounts reflect the loss recognized on the extinguishment of the 2019 Credit Agreement upon repayment. See Note “13. Long-Term Debt Obligations”.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(7)</w:t></w:r></w:p></w:tc><w:tc><w:tcPr><w:tcW w:w="5000" w:type="pct"/><w:vAlign w:val="top"/><w:noWrap/></w:tcPr><w:p><w:pPr><w:jc w:val="start"/></w:pPr><w:r><w:rPr><w:rFonts w:ascii="&quot;Times New Roman&quot;" w:hAnsi="&quot;Times New Roman&quot;" w:eastAsia="&quot;Times New Roman&quot;" w:cs="&quot;Times New Roman&quot;"/><w:sz w:val="20"/><w:szCs w:val="20"/></w:rPr><w:t xml:space="preserve">Amounts reflect the </w:t></w:r><w:r><w:rPr><w:rFonts w:ascii="&quot;Times New Roman&quot;" w:hAnsi="&quot;Times New Roman&quot;" w:eastAsia="&quot;Times New Roman&quot;" w:cs="&quot;Times New Roman&quot;"/><w:sz w:val="20"/><w:szCs w:val="20"/><w:spacing w:val="0"/></w:rPr><w:t xml:space="preserve">write-off</w:t></w:r><w:r><w:rPr><w:rFonts w:ascii="&quot;Times New Roman&quot;" w:hAnsi="&quot;Times New Roman&quot;" w:eastAsia="&quot;Times New Roman&quot;" w:cs="&quot;Times New Roman&quot;"/><w:sz w:val="20"/><w:szCs w:val="20"/></w:rPr><w:t xml:space="preserve"> of certain design and consulting fees previously capitalized related to the unfinished construction work on the 275 Dan Road Building.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(8)</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 reflects the cancellation fee for terminating certain product development and consulting agreements the Company inherited from NuTech Medical. See Note “18. Commitments and Contingencies”. </w:t></w:r></w:p></w:tc></w:tr></w:tbl><w:p><w:pPr><w:jc w:val="start"/></w:pPr><w:r><w:rPr><w:rFonts w:ascii="&quot;Times New Roman&quot;" w:hAnsi="&quot;Times New Roman&quot;" w:eastAsia="&quot;Times New Roman&quot;" w:cs="&quot;Times New Roman&quot;"/><w:sz w:val="20"/><w:szCs w:val="20"/><w:b w:val="1"/><w:bCs w:val="1"/><w:spacing w:val="0"/></w:rPr><w:t xml:space="preserve">Comparison of the Three and Nine months ended September 30, 2021 and 2020 </w:t></w:r></w:p><w:p><w:pPr><w:jc w:val="start"/></w:pPr><w:r><w:rPr><w:rFonts w:ascii="&quot;Times New Roman&quot;" w:hAnsi="&quot;Times New Roman&quot;" w:eastAsia="&quot;Times New Roman&quot;" w:cs="&quot;Times New Roman&quot;"/><w:sz w:val="20"/><w:szCs w:val="20"/><w:b w:val="1"/><w:bCs w:val="1"/><w:i w:val="1"/><w:iCs w:val="1"/><w:spacing w:val="0"/></w:rPr><w:t xml:space="preserve">Revenue </w:t></w:r></w:p><w:p><w:pPr><w:jc w:val="start"/></w:pPr><w:r><w:rPr><w:sz w:val="24"/><w:szCs w:val="24"/><w:spacing w:val="0"/></w:rPr><w:t xml:space="preserve"> </w:t></w:r></w:p><w:tbl><w:tblGrid><w:gridCol w:w="345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00" w:type="dxa"/><w:gridCol w:w="4600" w:type="dxa"/><w:gridCol w:w="4600" w:type="dxa"/><w:gridCol w:w="4600" w:type="dxa"/></w:tblGrid><w:tblPr><w:tblW w:w="4600" w:type="pct"/><w:tblCellSpacing w:w="0" w:type="dxa"/><w:tblLayout w:type="autofit"/></w:tblPr><w:tr><w:trPr/><w:tc><w:tcPr><w:tcW w:w="345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 Months Ended</w:t></w:r><w:r><w:rPr><w:rFonts w:ascii="&quot;Times New Roman&quot;" w:hAnsi="&quot;Times New Roman&quot;" w:eastAsia="&quot;Times New Roman&quot;" w:cs="&quot;Times New Roman&quot;"/><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Advanced Wound Care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107,341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89,990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17,351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Surgical & Sports Medicine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6,412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10,809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(4,397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(41</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revenue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113,753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100,799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12,954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31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hyperlink w:anchor="toc" w:history="1"><w:r><w:rPr/><w:t xml:space="preserve"></w:t></w:r></w:hyperlink></w:p><w:tbl><w:tblGrid><w:gridCol w:w="335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350" w:type="pct"/><w:noWrap/></w:tcPr><w:p><w:pPr/></w:p></w:tc><w:tc><w:tcPr><w:tcW w:w="20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Nine Months Ended</w:t></w:r><w:r><w:rPr><w:rFonts w:ascii="&quot;Times New Roman&quot;" w:hAnsi="&quot;Times New Roman&quot;" w:eastAsia="&quot;Times New Roman&quot;" w:cs="&quot;Times New Roman&quot;"/><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Advanced Wound Care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309,485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201,009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108,476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Surgical & Sports Medicine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30,016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30,482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(466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revenue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339,501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231,491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108,010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Net revenue from our Advanced Wound Care products increased by $17.4 million, or 19%, to $107.3 million in the three months ended September 30, 2021 from $90.0 million in the three months ended September 30, 2020. Net revenue from our Advanced Wound Care products increased by $108.5 million, or 54%, to $309.5 million in the nine months ended September 30, 2021 from $201.0 million in the nine months ended September 30, 2020. The increase in Advanced Wound Care net revenue was primarily attributable to the expanded sales force, increased sales to existing and new customers, increased adoption of our amniotic product portfolio, including our Affinity product, as well as increased adoption of our PuraPly line extensions launched in the second half of 2020. </w:t></w:r></w:p><w:p><w:pPr><w:jc w:val="start"/></w:pPr><w:r><w:rPr><w:rFonts w:ascii="&quot;Times New Roman&quot;" w:hAnsi="&quot;Times New Roman&quot;" w:eastAsia="&quot;Times New Roman&quot;" w:cs="&quot;Times New Roman&quot;"/><w:sz w:val="20"/><w:szCs w:val="20"/><w:spacing w:val="0"/></w:rPr><w:t xml:space="preserve">Net revenue from our Surgical & Sports Medicine products decreased by $4.4 million, or 41%, to $6.4 million in the three months ended September 30, 2021 from $10.8 million in the three months ended September 30, 2020. Net revenue from our Surgical & Sports Medicine products decreased by $0.5 million, or 2%, to $30.0 million in the nine months ended September 30, 2021 from $30.5 million in the nine months ended September 30, 2020. The decrease in Surgical & Sports Medicine net revenue was primarily attributable to ReNu and NuCel which we stopped marketing after May 31, 2021 due to the expiration of the FDA’s enforcement grace period for these products. </w:t></w:r></w:p><w:p><w:pPr><w:jc w:val="start"/></w:pPr><w:r><w:rPr><w:rFonts w:ascii="&quot;Times New Roman&quot;" w:hAnsi="&quot;Times New Roman&quot;" w:eastAsia="&quot;Times New Roman&quot;" w:cs="&quot;Times New Roman&quot;"/><w:sz w:val="20"/><w:szCs w:val="20"/><w:spacing w:val="0"/></w:rPr><w:t xml:space="preserve">Included within net revenue is PuraPly revenue of $57.0 million and $41.0 million for the three months ended September 30, 2021 and 2020, respectively, and $135.9 million and $102.0 million for the nine months ended September 30, 2021 and 2020, respectively. PuraPly exited pass-through status on October 1, 2020. The continued increase in PuraPly revenue in the three and nine months ended September 30, 2021 was due to the expanded sales forces, increased adoption, by existing and new customers, of our PuraPly line extensions launched in the second half of 2020 as well as expanded sites of care. </w:t></w:r></w:p><w:p><w:pPr><w:jc w:val="start"/></w:pPr><w:r><w:rPr><w:rFonts w:ascii="&quot;Times New Roman&quot;" w:hAnsi="&quot;Times New Roman&quot;" w:eastAsia="&quot;Times New Roman&quot;" w:cs="&quot;Times New Roman&quot;"/><w:sz w:val="20"/><w:szCs w:val="20"/><w:b w:val="1"/><w:bCs w:val="1"/><w:i w:val="1"/><w:iCs w:val="1"/><w:spacing w:val="0"/></w:rPr><w:t xml:space="preserve">Cost of goods sold, gross profit and gross profit margin </w:t></w:r></w:p><w:p><w:pPr><w:jc w:val="start"/></w:pPr><w:r><w:rPr><w:sz w:val="24"/><w:szCs w:val="24"/><w:spacing w:val="0"/></w:rPr><w:t xml:space="preserve"> </w:t></w:r></w:p><w:tbl><w:tblGrid><w:gridCol w:w="335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350" w:type="pct"/><w:noWrap/></w:tcPr><w:p><w:pPr/></w:p></w:tc><w:tc><w:tcPr><w:tcW w:w="20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 Months Ended</w:t></w:r><w:r><w:rPr><w:rFonts w:ascii="&quot;Times New Roman&quot;" w:hAnsi="&quot;Times New Roman&quot;" w:eastAsia="&quot;Times New Roman&quot;" w:cs="&quot;Times New Roman&quot;"/><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Cost of goods sold</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26,167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22,964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3,203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Gross profit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87,586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77,835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9,751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13</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Gross profit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r></w:tbl><w:p><w:pPr><w:jc w:val="start"/></w:pPr><w:r><w:rPr><w:sz w:val="24"/><w:szCs w:val="24"/><w:spacing w:val="0"/></w:rPr><w:t xml:space="preserve"> </w:t></w:r></w:p><w:tbl><w:tblGrid><w:gridCol w:w="335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350" w:type="pct"/><w:noWrap/></w:tcPr><w:p><w:pPr/></w:p></w:tc><w:tc><w:tcPr><w:tcW w:w="20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Nine Months Ended</w:t></w:r><w:r><w:rPr><w:rFonts w:ascii="&quot;Times New Roman&quot;" w:hAnsi="&quot;Times New Roman&quot;" w:eastAsia="&quot;Times New Roman&quot;" w:cs="&quot;Times New Roman&quot;"/><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Cost of goods sold</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81,602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61,799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19,803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Gross profit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257,899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169,692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88,207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52</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Gross profit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r></w:tbl><w:p><w:pPr><w:jc w:val="start"/></w:pPr><w:r><w:rPr><w:rFonts w:ascii="&quot;Times New Roman&quot;" w:hAnsi="&quot;Times New Roman&quot;" w:eastAsia="&quot;Times New Roman&quot;" w:cs="&quot;Times New Roman&quot;"/><w:sz w:val="20"/><w:szCs w:val="20"/><w:spacing w:val="0"/></w:rPr><w:t xml:space="preserve">Cost of goods sold increased by $3.2 million, or 14%, to $26.2 million in the three months ended September 30, 2021 from $23.0 million in the three months ended September 30, 2020. Cost of goods sold increased by $19.8 million or 32% to $81.6 million in the nine months ended September 30, 2021 from $61.8 million in the nine months ended September 30, 2020. The increase in cost of goods sold was primarily due to increased unit volumes, and additional manufacturing and quality control headcount.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Gross profit increased by $9.8 million, or 13%, to $87.6 million in the three months ended September 30, 2021 from $77.8 million in the three months ended September 30, 2020. Gross profit increased by $88.2 million, or 52%, to $257.9 million in the nine months ended September 30, 2021 from $169.7 million in the nine months ended September 30, 2020. The increase in gross profit resulted primarily from increased sales volume due to the strength of our Advanced Wound Care products as well as a shift in product mix to our higher gross margin products. </w:t></w:r></w:p><w:p><w:pPr><w:jc w:val="start"/></w:pPr><w:r><w:rPr><w:rFonts w:ascii="&quot;Times New Roman&quot;" w:hAnsi="&quot;Times New Roman&quot;" w:eastAsia="&quot;Times New Roman&quot;" w:cs="&quot;Times New Roman&quot;"/><w:sz w:val="20"/><w:szCs w:val="20"/><w:b w:val="1"/><w:bCs w:val="1"/><w:i w:val="1"/><w:iCs w:val="1"/><w:spacing w:val="0"/></w:rPr><w:t xml:space="preserve">Research and Development Expenses </w:t></w:r></w:p><w:p><w:pPr><w:jc w:val="start"/></w:pPr><w:r><w:rPr><w:sz w:val="24"/><w:szCs w:val="24"/><w:spacing w:val="0"/></w:rPr><w:t xml:space="preserve"> </w:t></w:r></w:p><w:tbl><w:tblGrid><w:gridCol w:w="335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200" w:type="dxa"/><w:gridCol w:w="4600" w:type="dxa"/><w:gridCol w:w="4600" w:type="dxa"/><w:gridCol w:w="4600" w:type="dxa"/></w:tblGrid><w:tblPr><w:tblW w:w="4600" w:type="pct"/><w:tblCellSpacing w:w="0" w:type="dxa"/><w:tblLayout w:type="autofit"/></w:tblPr><w:tr><w:trPr/><w:tc><w:tcPr><w:tcW w:w="3350" w:type="pct"/><w:noWrap/></w:tcPr><w:p><w:pPr/></w:p></w:tc><w:tc><w:tcPr><w:tcW w:w="20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2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 Months Ended</w:t></w:r><w:r><w:rPr><w:rFonts w:ascii="&quot;Times New Roman&quot;" w:hAnsi="&quot;Times New Roman&quot;" w:eastAsia="&quot;Times New Roman&quot;" w:cs="&quot;Times New Roman&quot;"/><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Research and development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8,953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3,709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5,244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141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i w:val="1"/><w:iCs w:val="1"/><w:spacing w:val="0"/></w:rPr><w:t xml:space="preserve">Research and development as a percentage of net revenue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r></w:tbl><w:p><w:pPr><w:jc w:val="start"/></w:pPr><w:r><w:rPr><w:sz w:val="24"/><w:szCs w:val="24"/><w:spacing w:val="0"/></w:rPr><w:t xml:space="preserve"> </w:t></w:r></w:p><w:tbl><w:tblGrid><w:gridCol w:w="335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200" w:type="dxa"/><w:gridCol w:w="4600" w:type="dxa"/><w:gridCol w:w="4600" w:type="dxa"/><w:gridCol w:w="4600" w:type="dxa"/></w:tblGrid><w:tblPr><w:tblW w:w="4600" w:type="pct"/><w:tblCellSpacing w:w="0" w:type="dxa"/><w:tblLayout w:type="autofit"/></w:tblPr><w:tr><w:trPr/><w:tc><w:tcPr><w:tcW w:w="3350" w:type="pct"/><w:noWrap/></w:tcPr><w:p><w:pPr/></w:p></w:tc><w:tc><w:tcPr><w:tcW w:w="20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2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Nine Months Ended</w:t></w:r><w:r><w:rPr><w:rFonts w:ascii="&quot;Times New Roman&quot;" w:hAnsi="&quot;Times New Roman&quot;" w:eastAsia="&quot;Times New Roman&quot;" w:cs="&quot;Times New Roman&quot;"/><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Research and development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22,482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13,787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8,695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63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i w:val="1"/><w:iCs w:val="1"/><w:spacing w:val="0"/></w:rPr><w:t xml:space="preserve">Research and development as a percentage of net revenue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r></w:tbl><w:p><w:pPr><w:jc w:val="start"/></w:pPr><w:r><w:rPr><w:rFonts w:ascii="&quot;Times New Roman&quot;" w:hAnsi="&quot;Times New Roman&quot;" w:eastAsia="&quot;Times New Roman&quot;" w:cs="&quot;Times New Roman&quot;"/><w:sz w:val="20"/><w:szCs w:val="20"/><w:spacing w:val="0"/></w:rPr><w:t xml:space="preserve">Research and development expenses increased by $5.2 million, or 141%, to $9.0 million in the three months ended September 30, 2021 from $3.7 million in the three months ended September 30, 2020. Research and development expenses increased by $8.7 million, or 63%, to $22.5 million in the nine months ended September 30, 2021 from $13.8 million in the nine months ended September 30, 2020. The increase in research and development expenses was primarily due to increased headcount associated with our existing Advanced Wound Care and Surgical & Sports Medicine products, an increase in product costs associated with our pipeline products not yet commercialized and an increase in the clinical study and related costs necessary to seek regulatory approvals for certain of our products. </w:t></w:r></w:p><w:p><w:pPr><w:jc w:val="start"/></w:pPr><w:r><w:rPr><w:rFonts w:ascii="&quot;Times New Roman&quot;" w:hAnsi="&quot;Times New Roman&quot;" w:eastAsia="&quot;Times New Roman&quot;" w:cs="&quot;Times New Roman&quot;"/><w:sz w:val="20"/><w:szCs w:val="20"/><w:b w:val="1"/><w:bCs w:val="1"/><w:i w:val="1"/><w:iCs w:val="1"/><w:spacing w:val="0"/></w:rPr><w:t xml:space="preserve">Selling, General and Administrative Expenses </w:t></w:r></w:p><w:p><w:pPr><w:jc w:val="start"/></w:pPr><w:r><w:rPr><w:sz w:val="24"/><w:szCs w:val="24"/><w:spacing w:val="0"/></w:rPr><w:t xml:space="preserve"> </w:t></w:r></w:p><w:tbl><w:tblGrid><w:gridCol w:w="335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200" w:type="dxa"/><w:gridCol w:w="4600" w:type="dxa"/><w:gridCol w:w="4600" w:type="dxa"/><w:gridCol w:w="4600" w:type="dxa"/></w:tblGrid><w:tblPr><w:tblW w:w="4600" w:type="pct"/><w:tblCellSpacing w:w="0" w:type="dxa"/><w:tblLayout w:type="autofit"/></w:tblPr><w:tr><w:trPr/><w:tc><w:tcPr><w:tcW w:w="3350" w:type="pct"/><w:noWrap/></w:tcPr><w:p><w:pPr/></w:p></w:tc><w:tc><w:tcPr><w:tcW w:w="20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2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 Months Ended</w:t></w:r><w:r><w:rPr><w:rFonts w:ascii="&quot;Times New Roman&quot;" w:hAnsi="&quot;Times New Roman&quot;" w:eastAsia="&quot;Times New Roman&quot;" w:cs="&quot;Times New Roman&quot;"/><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Selling, general and administrative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62,369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51,325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11,044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22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i w:val="1"/><w:iCs w:val="1"/><w:spacing w:val="0"/></w:rPr><w:t xml:space="preserve">Selling, general and administrative as a percentage of net revenue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r></w:tbl><w:p><w:pPr><w:jc w:val="start"/></w:pPr><w:r><w:rPr><w:sz w:val="24"/><w:szCs w:val="24"/><w:spacing w:val="0"/></w:rPr><w:t xml:space="preserve"> </w:t></w:r></w:p><w:tbl><w:tblGrid><w:gridCol w:w="335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200" w:type="dxa"/><w:gridCol w:w="4600" w:type="dxa"/><w:gridCol w:w="4600" w:type="dxa"/><w:gridCol w:w="4600" w:type="dxa"/></w:tblGrid><w:tblPr><w:tblW w:w="4600" w:type="pct"/><w:tblCellSpacing w:w="0" w:type="dxa"/><w:tblLayout w:type="autofit"/></w:tblPr><w:tr><w:trPr/><w:tc><w:tcPr><w:tcW w:w="3350" w:type="pct"/><w:noWrap/></w:tcPr><w:p><w:pPr/></w:p></w:tc><w:tc><w:tcPr><w:tcW w:w="20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2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Nine Months Ended</w:t></w:r><w:r><w:rPr><w:rFonts w:ascii="&quot;Times New Roman&quot;" w:hAnsi="&quot;Times New Roman&quot;" w:eastAsia="&quot;Times New Roman&quot;" w:cs="&quot;Times New Roman&quot;"/><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Selling, general and administrative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182,950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150,797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32,153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21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i w:val="1"/><w:iCs w:val="1"/><w:spacing w:val="0"/></w:rPr><w:t xml:space="preserve">Selling, general and administrative as a percentage of net revenue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r></w:tbl><w:p><w:pPr><w:jc w:val="start"/></w:pPr><w:r><w:rPr><w:rFonts w:ascii="Times New Roman" w:hAnsi="Times New Roman" w:eastAsia="Times New Roman" w:cs="Times New Roman"/><w:sz w:val="20"/><w:szCs w:val="20"/></w:rPr><w:t xml:space="preserve">Selling, general and administrative expenses increased by $11.0 million, or 22%, to $62.4 million in the three months ended September 30, 2021 from $51.3 million in the three months ended September 30, 2020. The increase in selling, general and administrative expenses was primarily due to a $4.8 million increase related to additional headcount, primarily in our direct sales force and increased sales commissions due to increased sales, a $2.3 million increase related to increased travel and marketing programs amid the relaxed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travel restrictions, a $1.0 million increase in restructuring cost associated with closing the La Jolla office, a $1.1 million </w:t></w:r></w:p><w:p><w:pPr><w:jc w:val="start"/></w:pPr><w:r><w:rPr><w:rFonts w:ascii="Times New Roman" w:hAnsi="Times New Roman" w:eastAsia="Times New Roman" w:cs="Times New Roman"/><w:sz w:val="20"/><w:szCs w:val="20"/><w:spacing w:val="0"/></w:rPr><w:t xml:space="preserve">write-off</w:t></w:r></w:p><w:p><w:pPr><w:jc w:val="start"/></w:pPr><w:r><w:rPr><w:rFonts w:ascii="Times New Roman" w:hAnsi="Times New Roman" w:eastAsia="Times New Roman" w:cs="Times New Roman"/><w:sz w:val="20"/><w:szCs w:val="20"/></w:rPr><w:t xml:space="preserve"> of certain design and consulting fees previously capitalized related to the unfinished construction work on the 275 Dan Road Building, and a $2.7 million increase in various costs resulting from increased revenue and increase in legal, consulting fees and other costs associated with the ongoing operations of our business. These increases were partially offset by a $0.9 million decrease resulting from the CPN Earnout fair value adjustment.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Selling, general and administrative expenses increased by $32.2 million, or 21%, to $183.0 million in the nine months ended September 30, 2021 from $150.8 million in the nine months ended September 30, 2020. The increase in selling, general and administrative expenses was primarily due to a $24.2 million increase related to additional headcount, primarily in our direct sales force and increased sales commissions due to increased sales, a $2.1 million increase related to increased travel and marketing programs amid the relaxed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travel restrictions, a $2.9 million increase in restructuring cost associated with closing the La Jolla office, a $1.1 million </w:t></w:r></w:p><w:p><w:pPr><w:jc w:val="start"/></w:pPr><w:r><w:rPr><w:rFonts w:ascii="Times New Roman" w:hAnsi="Times New Roman" w:eastAsia="Times New Roman" w:cs="Times New Roman"/><w:sz w:val="20"/><w:szCs w:val="20"/><w:spacing w:val="0"/></w:rPr><w:t xml:space="preserve">write-off</w:t></w:r></w:p><w:p><w:pPr><w:jc w:val="start"/></w:pPr><w:r><w:rPr><w:rFonts w:ascii="Times New Roman" w:hAnsi="Times New Roman" w:eastAsia="Times New Roman" w:cs="Times New Roman"/><w:sz w:val="20"/><w:szCs w:val="20"/></w:rPr><w:t xml:space="preserve"> of certain design and consulting fees previously capitalized related to the unfinished construction work on the 275 Dan Road Building, and a $7.8 million increase in various costs resulting from increased revenue and increase in legal, consulting fees and other costs associated with the ongoing operations of our business. These increases were partially offset by a $4.0 million decrease resulting from the CPN Earnout fair value adjustment and a $2.0 million decrease in the cancellation fee incurred in the three months ended March 31, 2020 to cancel certain product development and consulting agreements. </w:t></w:r></w:p><w:p><w:pPr><w:jc w:val="start"/></w:pPr><w:r><w:rPr><w:rFonts w:ascii="&quot;Times New Roman&quot;" w:hAnsi="&quot;Times New Roman&quot;" w:eastAsia="&quot;Times New Roman&quot;" w:cs="&quot;Times New Roman&quot;"/><w:sz w:val="20"/><w:szCs w:val="20"/><w:b w:val="1"/><w:bCs w:val="1"/><w:i w:val="1"/><w:iCs w:val="1"/><w:spacing w:val="0"/></w:rPr><w:t xml:space="preserve">Other Expense, net </w:t></w:r></w:p><w:p><w:pPr><w:jc w:val="start"/></w:pPr><w:r><w:rPr><w:sz w:val="24"/><w:szCs w:val="24"/><w:spacing w:val="0"/></w:rPr><w:t xml:space="preserve"> </w:t></w:r></w:p><w:tbl><w:tblGrid><w:gridCol w:w="350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500" w:type="pct"/><w:noWrap/></w:tcPr><w:p><w:pPr/></w:p></w:tc><w:tc><w:tcPr><w:tcW w:w="20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 Months Ended</w:t></w:r><w:r><w:rPr><w:rFonts w:ascii="&quot;Times New Roman&quot;" w:hAnsi="&quot;Times New Roman&quot;" w:eastAsia="&quot;Times New Roman&quot;" w:cs="&quot;Times New Roman&quot;"/><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Interest expense, net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(1,482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(2,969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1,487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Loss on extinguishment of debt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(1,883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(1,883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100</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Gain on settlement of deferred acquisition consideration</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951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(951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Other income (expense), net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(143</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other expense, net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(3,384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(1,974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(1,410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sz w:val="24"/><w:szCs w:val="24"/><w:spacing w:val="0"/></w:rPr><w:t xml:space="preserve"> </w:t></w:r></w:p><w:tbl><w:tblGrid><w:gridCol w:w="350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500" w:type="pct"/><w:noWrap/></w:tcPr><w:p><w:pPr/></w:p></w:tc><w:tc><w:tcPr><w:tcW w:w="20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Nine Months Ended</w:t></w:r><w:r><w:rPr><w:rFonts w:ascii="&quot;Times New Roman&quot;" w:hAnsi="&quot;Times New Roman&quot;" w:eastAsia="&quot;Times New Roman&quot;" w:cs="&quot;Times New Roman&quot;"/><w:sz w:val="16"/><w:szCs w:val="16"/><w:b w:val="1"/><w:bCs w:val="1"/><w:spacing w:val="0"/></w:rPr><w:t xml:space="preserve">September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c><w:tcPr><w:tcW w:w="4600" w:type="pct"/><w:vAlign w:val="bottom"/><w:gridSpan w:val="2"/><w:noWrap/></w:tcPr><w:p><w:pPr/><w:r><w:rPr><w:rFonts w:ascii="Times New Roman" w:hAnsi="Times New Roman" w:eastAsia="Times New Roman" w:cs="Times New Roman"/><w:sz w:val="2"/><w:szCs w:val="2"/></w:rPr><w:t xml:space="preserve"> </w:t></w:r></w:p></w:tc><w:tc><w:tcPr><w:tcW w:w="4600" w:type="pct"/><w:vAlign w:val="bottom"/><w:noWrap/></w:tcPr><w:p><w:pPr/><w:r><w:rPr><w:rFonts w:ascii="Times New Roman" w:hAnsi="Times New Roman" w:eastAsia="Times New Roman" w:cs="Times New Roman"/><w:sz w:val="2"/><w:szCs w:val="2"/></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Interest expense, net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(6,383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(8,391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2,008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Loss on extinguishment of debt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(1,883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(1,883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100</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Gain on settlement of deferred acquisition consideration</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2,246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(2,246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Other income, net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90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(94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(104</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other expense, net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(8,270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(6,055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(2,215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Total other expense, net, increased by $1.4 million, or 71%, to $3.4 million in the three months ended September 30, 2021 from $2.0 million in the three months ended September 30, 2020. Interest expense, net, decreased by $1.5 million or 50% due to the reduced interest rate for borrowings under the 2021 Credit Agreement. Loss on extinguishment of debt of $1.9 million was related to loss recognized on the extinguishment of the 2019 Credit Agreement upon repayment in August 2021. Gain on settlement of deferred acquisition consideration of $1.0 million was due to the decrease in legal accruals related to the settlement of a legacy lawsuit in October 2020. We assumed the legacy lawsuit as part of the resolution of the deferred acquisition consideration dispute with the sellers of NuTech Medical in February 2020. </w:t></w:r></w:p><w:p><w:pPr><w:jc w:val="start"/></w:pPr><w:r><w:rPr><w:rFonts w:ascii="&quot;Times New Roman&quot;" w:hAnsi="&quot;Times New Roman&quot;" w:eastAsia="&quot;Times New Roman&quot;" w:cs="&quot;Times New Roman&quot;"/><w:sz w:val="20"/><w:szCs w:val="20"/><w:spacing w:val="0"/></w:rPr><w:t xml:space="preserve">Total other expense, net, increased by $2.2 million or 37% to $8.3 million in the nine months ended September 30, 2021 from $6.1 million in the nine months ended September 30, 2020. Interest expense, net, decreased by $2.0 million or 24% primarily due to the reduced interest rate for borrowings under the 2021 Credit Agreement. Loss on extinguishment of debt of $1.9 million was related to loss recognized on the extinguishment of the 2019 Credit Agreement upon repayment in August 2021. The gain of $2.3 million on the settlement of deferred acquisition consideration was related to the settlement of the deferred acquisition consideration dispute with the sellers of NuTech Medical in February 2020 as well as the decrease in legal accruals related to the settlement of a legacy lawsuit in October 2020. We assumed the legacy lawsuit from the sellers of NuTech Medical as part of the resolution of the aforementioned dispute. </w:t></w:r></w:p><w:p><w:pPr><w:jc w:val="start"/></w:pPr><w:r><w:rPr><w:rFonts w:ascii="&quot;Times New Roman&quot;" w:hAnsi="&quot;Times New Roman&quot;" w:eastAsia="&quot;Times New Roman&quot;" w:cs="&quot;Times New Roman&quot;"/><w:sz w:val="20"/><w:szCs w:val="20"/><w:b w:val="1"/><w:bCs w:val="1"/><w:i w:val="1"/><w:iCs w:val="1"/><w:spacing w:val="0"/></w:rPr><w:t xml:space="preserve">Liquidity and Capital Resources </w:t></w:r></w:p><w:p><w:pPr><w:jc w:val="start"/></w:pPr><w:r><w:rPr><w:rFonts w:ascii="&quot;Times New Roman&quot;" w:hAnsi="&quot;Times New Roman&quot;" w:eastAsia="&quot;Times New Roman&quot;" w:cs="&quot;Times New Roman&quot;"/><w:sz w:val="20"/><w:szCs w:val="20"/><w:spacing w:val="0"/></w:rPr><w:t xml:space="preserve">Since our inception, we have funded our operations and capital expenditures through cash flows from product sales, loans from affiliates and entities controlled by certain of our affiliates, third-party debt and proceeds from the sale of our capital stock. As of September 30, 2021, we had an accumulated deficit of $111,828 and working capital of $130.8 million which included $102.2 million in cash. We also had $125.0 million available for future revolving borrowings under our Revolving Facility (see Note “13. Long-Term Debt Obligations”). For the nine months ended September 30,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34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2021, we have generated $43,207 of net income and $44,030 of cash in operations. We expect that our cash on hand and other components of working capital as of September 30, 2021, availability under the 2021 Credit Agreement, plus net cash flows from product sales, will be sufficient to fund our operating expenses, capital expenditure requirements and debt service payments for at least 12 months beyond the filing date of this quarterly report. We continue to closely monitor ongoing developments in connection with the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pandemic, which may negatively impact our commercial prospects, cash position and access to capital in fiscal 2021 or beyond. We will continue to assess our cash and other sources of liquidity and, if circumstances warrant, we will make appropriate adjustments to our operating plan. </w:t></w:r></w:p><w:p><w:pPr><w:jc w:val="start"/></w:pPr><w:r><w:rPr><w:rFonts w:ascii="&quot;Times New Roman&quot;" w:hAnsi="&quot;Times New Roman&quot;" w:eastAsia="&quot;Times New Roman&quot;" w:cs="&quot;Times New Roman&quot;"/><w:sz w:val="20"/><w:szCs w:val="20"/><w:spacing w:val="0"/></w:rPr><w:t xml:space="preserve">Our primary uses of cash are working capital requirements, capital expenditure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manufacturing equipment, and computer hardware and software. </w:t></w:r></w:p><w:p><w:pPr><w:jc w:val="start"/></w:pPr><w:r><w:rPr><w:rFonts w:ascii="&quot;Times New Roman&quot;" w:hAnsi="&quot;Times New Roman&quot;" w:eastAsia="&quot;Times New Roman&quot;" w:cs="&quot;Times New Roman&quot;"/><w:sz w:val="20"/><w:szCs w:val="20"/><w:spacing w:val="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 </w:t></w:r></w:p><w:p><w:pPr><w:jc w:val="start"/></w:pPr><w:r><w:rPr><w:rFonts w:ascii="&quot;Times New Roman&quot;" w:hAnsi="&quot;Times New Roman&quot;" w:eastAsia="&quot;Times New Roman&quot;" w:cs="&quot;Times New Roman&quot;"/><w:sz w:val="20"/><w:szCs w:val="20"/><w:b w:val="1"/><w:bCs w:val="1"/><w:i w:val="1"/><w:iCs w:val="1"/><w:spacing w:val="0"/></w:rPr><w:t xml:space="preserve">Cash Flows </w:t></w:r></w:p><w:p><w:pPr><w:jc w:val="start"/></w:pPr><w:r><w:rPr><w:rFonts w:ascii="&quot;Times New Roman&quot;" w:hAnsi="&quot;Times New Roman&quot;" w:eastAsia="&quot;Times New Roman&quot;" w:cs="&quot;Times New Roman&quot;"/><w:sz w:val="20"/><w:szCs w:val="20"/><w:spacing w:val="0"/></w:rPr><w:t xml:space="preserve">The following table summarizes our cash flows for each of the periods presented: </w:t></w:r></w:p><w:p><w:pPr><w:jc w:val="start"/></w:pPr><w:r><w:rPr><w:sz w:val="24"/><w:szCs w:val="24"/><w:spacing w:val="0"/></w:rPr><w:t xml:space="preserve"> </w:t></w:r></w:p><w:tbl><w:tblGrid><w:gridCol w:w="3950" w:type="dxa"/><w:gridCol w:w="200" w:type="dxa"/><w:gridCol w:w="3800" w:type="dxa"/><w:gridCol w:w="3800" w:type="dxa"/><w:gridCol w:w="3800" w:type="dxa"/><w:gridCol w:w="150" w:type="dxa"/><w:gridCol w:w="3800" w:type="dxa"/><w:gridCol w:w="3800" w:type="dxa"/><w:gridCol w:w="3800" w:type="dxa"/></w:tblGrid><w:tblPr><w:tblW w:w="3800" w:type="pct"/><w:tblCellSpacing w:w="0" w:type="dxa"/><w:tblLayout w:type="autofit"/></w:tblPr><w:tr><w:trPr/><w:tc><w:tcPr><w:tcW w:w="3950" w:type="pct"/><w:noWrap/></w:tcPr><w:p><w:pPr/></w:p></w:tc><w:tc><w:tcPr><w:tcW w:w="200" w:type="pct"/><w:vAlign w:val="bottom"/><w:noWrap/></w:tcPr><w:p><w:pPr/></w:p></w:tc><w:tc><w:tcPr><w:tcW w:w="3800" w:type="pct"/><w:noWrap/></w:tcPr><w:p><w:pPr/></w:p></w:tc><w:tc><w:tcPr><w:tcW w:w="3800" w:type="pct"/><w:noWrap/></w:tcPr><w:p><w:pPr/></w:p></w:tc><w:tc><w:tcPr><w:tcW w:w="3800" w:type="pct"/><w:noWrap/></w:tcPr><w:p><w:pPr/></w:p></w:tc><w:tc><w:tcPr><w:tcW w:w="1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6"/><w:noWrap/></w:tcPr><w:p><w:pPr><w:jc w:val="center"/></w:pPr><w:r><w:rPr><w:rFonts w:ascii="Times New Roman" w:hAnsi="Times New Roman" w:eastAsia="Times New Roman" w:cs="Times New Roman"/><w:sz w:val="16"/><w:szCs w:val="16"/><w:b w:val="1"/><w:bCs w:val="1"/><w:spacing w:val="0"/></w:rPr><w:t xml:space="preserve">Nine Months Ended</w:t></w:r><w:br/><w:r><w:rPr><w:rFonts w:ascii="Times New Roman" w:hAnsi="Times New Roman" w:eastAsia="Times New Roman" w:cs="Times New Roman"/><w:sz w:val="16"/><w:szCs w:val="16"/><w:b w:val="1"/><w:bCs w:val="1"/><w:spacing w:val="0"/></w:rPr><w:t xml:space="preserve">September 30,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2"/><w:szCs w:val="2"/></w:rPr><w:t xml:space="preserve"> </w:t></w:r></w:p></w:tc><w:tc><w:tcPr><w:tcW w:w="3800" w:type="pct"/><w:vAlign w:val="bottom"/><w:noWrap/></w:tcPr><w:p><w:pPr/><w:r><w:rPr><w:rFonts w:ascii="Times New Roman" w:hAnsi="Times New Roman" w:eastAsia="Times New Roman" w:cs="Times New Roman"/><w:sz w:val="2"/><w:szCs w:val="2"/></w:rPr><w:t xml:space="preserve">  </w:t></w:r></w:p></w:tc><w:tc><w:tcPr><w:tcW w:w="3800" w:type="pct"/><w:vAlign w:val="bottom"/><w:gridSpan w:val="2"/><w:noWrap/></w:tcPr><w:p><w:pPr/><w:r><w:rPr><w:rFonts w:ascii="Times New Roman" w:hAnsi="Times New Roman" w:eastAsia="Times New Roman" w:cs="Times New Roman"/><w:sz w:val="2"/><w:szCs w:val="2"/></w:rPr><w:t xml:space="preserve"> </w:t></w:r></w:p></w:tc><w:tc><w:tcPr><w:tcW w:w="3800" w:type="pct"/><w:vAlign w:val="bottom"/><w:noWrap/></w:tcPr><w:p><w:pPr/><w:r><w:rPr><w:rFonts w:ascii="Times New Roman" w:hAnsi="Times New Roman" w:eastAsia="Times New Roman" w:cs="Times New Roman"/><w:sz w:val="2"/><w:szCs w:val="2"/></w:rPr><w:t xml:space="preserve"> </w:t></w:r></w:p></w:tc><w:tc><w:tcPr><w:tcW w:w="3800" w:type="pct"/><w:vAlign w:val="bottom"/><w:noWrap/></w:tcPr><w:p><w:pPr/><w:r><w:rPr><w:rFonts w:ascii="Times New Roman" w:hAnsi="Times New Roman" w:eastAsia="Times New Roman" w:cs="Times New Roman"/><w:sz w:val="2"/><w:szCs w:val="2"/></w:rPr><w:t xml:space="preserve">  </w:t></w:r></w:p></w:tc><w:tc><w:tcPr><w:tcW w:w="3800" w:type="pct"/><w:vAlign w:val="bottom"/><w:gridSpan w:val="2"/><w:noWrap/></w:tcPr><w:p><w:pPr/><w:r><w:rPr><w:rFonts w:ascii="Times New Roman" w:hAnsi="Times New Roman" w:eastAsia="Times New Roman" w:cs="Times New Roman"/><w:sz w:val="2"/><w:szCs w:val="2"/></w:rPr><w:t xml:space="preserve"> </w:t></w:r></w:p></w:tc><w:tc><w:tcPr><w:tcW w:w="3800" w:type="pct"/><w:vAlign w:val="bottom"/><w:noWrap/></w:tcPr><w:p><w:pPr/><w:r><w:rPr><w:rFonts w:ascii="Times New Roman" w:hAnsi="Times New Roman" w:eastAsia="Times New Roman" w:cs="Times New Roman"/><w:sz w:val="2"/><w:szCs w:val="2"/></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6"/><w:noWrap/></w:tcPr><w:p><w:pPr><w:jc w:val="center"/></w:pPr><w:r><w:rPr><w:rFonts w:ascii="Times New Roman" w:hAnsi="Times New Roman" w:eastAsia="Times New Roman" w:cs="Times New Roman"/><w:sz w:val="16"/><w:szCs w:val="16"/><w:b w:val="1"/><w:bCs w:val="1"/><w:spacing w:val="0"/></w:rPr><w:t xml:space="preserve">(in thousands)</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cash provided by (used in) operating activities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44,030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(17,749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Net cash used in investing activities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(25,993</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(18,080</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cash provided by (used in) financing activities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12,345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Net change in cash and restricted cash</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17,918</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(23,484</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Times New Roman" w:hAnsi="Times New Roman" w:eastAsia="Times New Roman" w:cs="Times New Roman"/><w:sz w:val="20"/><w:szCs w:val="20"/><w:i w:val="1"/><w:iCs w:val="1"/><w:spacing w:val="0"/></w:rPr><w:t xml:space="preserve">Operating Activities </w:t></w:r></w:p><w:p><w:pPr><w:jc w:val="start"/></w:pPr><w:r><w:rPr><w:rFonts w:ascii="Times New Roman" w:hAnsi="Times New Roman" w:eastAsia="Times New Roman" w:cs="Times New Roman"/><w:sz w:val="20"/><w:szCs w:val="20"/></w:rPr><w:t xml:space="preserve">During the nine months ended September 30, 2021, net cash provided by operating activities was $44.0 million, resulting primarily from our net income of $43.2 million and </w:t></w:r></w:p><w:p><w:pPr><w:jc w:val="start"/></w:pPr><w:r><w:rPr><w:rFonts w:ascii="Times New Roman" w:hAnsi="Times New Roman" w:eastAsia="Times New Roman" w:cs="Times New Roman"/><w:sz w:val="20"/><w:szCs w:val="20"/><w:spacing w:val="0"/></w:rPr><w:t xml:space="preserve">non-cash</w:t></w:r></w:p><w:p><w:pPr><w:jc w:val="start"/></w:pPr><w:r><w:rPr><w:rFonts w:ascii="Times New Roman" w:hAnsi="Times New Roman" w:eastAsia="Times New Roman" w:cs="Times New Roman"/><w:sz w:val="20"/><w:szCs w:val="20"/></w:rPr><w:t xml:space="preserve"> charges of $24.5 million, partially offset by net cash used in connection with changes in our operating assets and liabilities of $25.6 million. Cash used in changes in our operating assets and liabilities included an increase in accounts receivable of $20.6 million, an increase in inventory of $9.7 million, and a decrease in operating leases and other liabilities of $7.1 million, all of which were partially offset by an increase in accounts payable, accrued expenses and other current liabilities of $12.0 million. </w:t></w:r></w:p><w:p><w:pPr><w:jc w:val="start"/></w:pPr><w:r><w:rPr><w:rFonts w:ascii="Times New Roman" w:hAnsi="Times New Roman" w:eastAsia="Times New Roman" w:cs="Times New Roman"/><w:sz w:val="20"/><w:szCs w:val="20"/></w:rPr><w:t xml:space="preserve">During the nine months ended September 30, 2020, net cash used in operating activities was $17.7 million, resulting from our net loss of $1.1 million and net cash used in connection with changes in our operating assets and liabilities of $27.9 million, partially offset </w:t></w:r></w:p><w:p><w:pPr><w:jc w:val="start"/></w:pPr><w:r><w:rPr><w:rFonts w:ascii="Times New Roman" w:hAnsi="Times New Roman" w:eastAsia="Times New Roman" w:cs="Times New Roman"/><w:sz w:val="20"/><w:szCs w:val="20"/><w:spacing w:val="0"/></w:rPr><w:t xml:space="preserve">by non-cash charges</w:t></w:r></w:p><w:p><w:pPr><w:jc w:val="start"/></w:pPr><w:r><w:rPr><w:rFonts w:ascii="Times New Roman" w:hAnsi="Times New Roman" w:eastAsia="Times New Roman" w:cs="Times New Roman"/><w:sz w:val="20"/><w:szCs w:val="20"/></w:rPr><w:t xml:space="preserve"> of $11.3 million. Net cash used in changes in our operating assets and liabilities included an increase in accounts receivable of $19.2 million, an increase in inventory of $7.8 million, an increase in prepaid expenses and other current assets of $1.6 million, and a decrease in accounts payable of $3.8 million, all of which were partially offset by an increase in accrued expenses and other liabilities of $4.4 million. </w:t></w:r></w:p><w:p><w:pPr><w:jc w:val="start"/></w:pPr><w:r><w:rPr><w:rFonts w:ascii="Times New Roman" w:hAnsi="Times New Roman" w:eastAsia="Times New Roman" w:cs="Times New Roman"/><w:sz w:val="20"/><w:szCs w:val="20"/><w:i w:val="1"/><w:iCs w:val="1"/><w:spacing w:val="0"/></w:rPr><w:t xml:space="preserve">Investing Activities </w:t></w:r></w:p><w:p><w:pPr><w:jc w:val="start"/></w:pPr><w:r><w:rPr><w:rFonts w:ascii="&quot;Times New Roman&quot;" w:hAnsi="&quot;Times New Roman&quot;" w:eastAsia="&quot;Times New Roman&quot;" w:cs="&quot;Times New Roman&quot;"/><w:sz w:val="20"/><w:szCs w:val="20"/><w:spacing w:val="0"/></w:rPr><w:t xml:space="preserve">During the nine months ended September 30, 2021, we used $26.0 million of cash in investing activities solely consisting of capital expenditures. </w:t></w:r></w:p><w:p><w:pPr><w:jc w:val="start"/></w:pPr><w:r><w:rPr><w:rFonts w:ascii="&quot;Times New Roman&quot;" w:hAnsi="&quot;Times New Roman&quot;" w:eastAsia="&quot;Times New Roman&quot;" w:cs="&quot;Times New Roman&quot;"/><w:sz w:val="20"/><w:szCs w:val="20"/><w:spacing w:val="0"/></w:rPr><w:t xml:space="preserve">During the nine months ended September 30, 2020, we used $18.1 million of cash in investing activities consisting of capital expenditures of $12.3 million and payment of $5.8 million related to the acquisition of CPN.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35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i w:val="1"/><w:iCs w:val="1"/><w:spacing w:val="0"/></w:rPr><w:t xml:space="preserve">Financing Activities </w:t></w:r></w:p><w:p><w:pPr><w:jc w:val="start"/></w:pPr><w:r><w:rPr><w:rFonts w:ascii="&quot;Times New Roman&quot;" w:hAnsi="&quot;Times New Roman&quot;" w:eastAsia="&quot;Times New Roman&quot;" w:cs="&quot;Times New Roman&quot;"/><w:sz w:val="20"/><w:szCs w:val="20"/><w:spacing w:val="0"/></w:rPr><w:t xml:space="preserve">During the nine months ended September 30, 2021, net cash used in financing activities was $0.1 million. This consisted primarily of the repayment of borrowings of $70.0 million under the 2019 Credit Agreement, the payment of $1.6 million to extinguish this debt facility, the payment of finance lease obligations of $2.1 million, the payment of $1.7 million related to other financing activities. The net cash used in financing activities was principally offset by $73.2 million in net proceeds from the 2021 Credit Agreement and $2.1 million in proceeds from the exercise of common stock options. </w:t></w:r></w:p><w:p><w:pPr><w:jc w:val="start"/></w:pPr><w:r><w:rPr><w:rFonts w:ascii="&quot;Times New Roman&quot;" w:hAnsi="&quot;Times New Roman&quot;" w:eastAsia="&quot;Times New Roman&quot;" w:cs="&quot;Times New Roman&quot;"/><w:sz w:val="20"/><w:szCs w:val="20"/><w:spacing w:val="0"/></w:rPr><w:t xml:space="preserve">During the nine months ended September 30, 2020, net cash provided by financing activities was $12.3 million. This consisted primarily of $15.9 million in proceeds from the 2019 Credit Agreement and $1.3 million in proceeds from the exercise of common stock options. The net cash provided by financing activities was partially offset by the payment of finance lease obligations of $1.8 million and the payment of $3.0 million related to the NuTech Medical deferred acquisition consideration. </w:t></w:r></w:p><w:p><w:pPr><w:jc w:val="start"/></w:pPr><w:r><w:rPr><w:rFonts w:ascii="&quot;Times New Roman&quot;" w:hAnsi="&quot;Times New Roman&quot;" w:eastAsia="&quot;Times New Roman&quot;" w:cs="&quot;Times New Roman&quot;"/><w:sz w:val="20"/><w:szCs w:val="20"/><w:b w:val="1"/><w:bCs w:val="1"/><w:i w:val="1"/><w:iCs w:val="1"/><w:spacing w:val="0"/></w:rPr><w:t xml:space="preserve">Indebtedness </w:t></w:r></w:p><w:p><w:pPr><w:jc w:val="start"/></w:pPr><w:r><w:rPr><w:rFonts w:ascii="&quot;Times New Roman&quot;" w:hAnsi="&quot;Times New Roman&quot;" w:eastAsia="&quot;Times New Roman&quot;" w:cs="&quot;Times New Roman&quot;"/><w:sz w:val="20"/><w:szCs w:val="20"/><w:b w:val="1"/><w:bCs w:val="1"/><w:i w:val="1"/><w:iCs w:val="1"/><w:spacing w:val="0"/></w:rPr><w:t xml:space="preserve">2021 Credit Agreement </w:t></w:r></w:p><w:p><w:pPr><w:jc w:val="start"/></w:pPr><w:r><w:rPr><w:rFonts w:ascii="&quot;Times New Roman&quot;" w:hAnsi="&quot;Times New Roman&quot;" w:eastAsia="&quot;Times New Roman&quot;" w:cs="&quot;Times New Roman&quot;"/><w:sz w:val="20"/><w:szCs w:val="20"/><w:spacing w:val="0"/></w:rPr><w:t xml:space="preserve">In August 2021, we, and our subsidiaries entered into a credit agreement with SVB and several other lenders, which we refer to as the 2021 Credit Agreement. The 2021 Credit Agreement provides for a term loan facility not to exceed $75,000 (the “Term Loan Facility”) and a revolving credit facility not to exceed $125,000 (the “Revolving Facility”). </w:t></w:r></w:p><w:p><w:pPr><w:jc w:val="start"/></w:pPr><w:r><w:rPr><w:rFonts w:ascii="Times New Roman" w:hAnsi="Times New Roman" w:eastAsia="Times New Roman" w:cs="Times New Roman"/><w:sz w:val="20"/><w:szCs w:val="20"/></w:rPr><w:t xml:space="preserve">Advances made under the 2021 Credit Agreement may be either Eurodollar Loans or ABR Loans, at our option. For Eurodollar Loans, the interest rate is a per annum interest rate equal to LIBOR plus an Applicable Margin based on the Total Net Leverage Ratio. For ABR Loans, the interest rate is equal to (1) the highest of (a) the Wall Street Journal Prime Rate, (b) the Federal Funds Rate plus 0.50% and (c) the LIBOR rate plus 1.0%,</w:t></w:r></w:p><w:p><w:pPr><w:jc w:val="start"/></w:pPr><w:r><w:rPr><w:rFonts w:ascii="Times New Roman" w:hAnsi="Times New Roman" w:eastAsia="Times New Roman" w:cs="Times New Roman"/><w:sz w:val="20"/><w:szCs w:val="20"/><w:i w:val="1"/><w:iCs w:val="1"/><w:spacing w:val="0"/></w:rPr><w:t xml:space="preserve"> plus</w:t></w:r></w:p><w:p><w:pPr><w:jc w:val="start"/></w:pPr><w:r><w:rPr><w:rFonts w:ascii="Times New Roman" w:hAnsi="Times New Roman" w:eastAsia="Times New Roman" w:cs="Times New Roman"/><w:sz w:val="20"/><w:szCs w:val="20"/></w:rPr><w:t xml:space="preserve"> (2) an Applicable Margin based on the Total Net Leverage Ratio. </w:t></w:r></w:p><w:p><w:pPr><w:jc w:val="start"/></w:pPr><w:r><w:rPr><w:rFonts w:ascii="Times New Roman" w:hAnsi="Times New Roman" w:eastAsia="Times New Roman" w:cs="Times New Roman"/><w:sz w:val="20"/><w:szCs w:val="20"/></w:rPr><w:t xml:space="preserve">The 2021 Credit Agreement requires us to make consecutive quarterly installment payments of principal in an amount equal to between 0.625% to 2.50% of the original principal amount of the Term Loans starting from September 30, 2021 through August 6, 2026 (the “Term Loan Maturity Date”). We may prepay the Term Loan Facility, provided that any Term Loans prepaid prior to August 6, 2022, must be accompanied by a prepayment premium equal to 1.00% of the aggregate amount of Term Loans prepaid. Once repaid, amounts borrowed under the Term Loan Facility may not </w:t></w:r></w:p><w:p><w:pPr><w:jc w:val="start"/></w:pPr><w:r><w:rPr><w:rFonts w:ascii="Times New Roman" w:hAnsi="Times New Roman" w:eastAsia="Times New Roman" w:cs="Times New Roman"/><w:sz w:val="20"/><w:szCs w:val="20"/><w:spacing w:val="0"/></w:rPr><w:t xml:space="preserve">be re-borrowed.</w:t></w:r></w:p><w:p><w:pPr><w:jc w:val="start"/></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sz w:val="20"/><w:szCs w:val="20"/></w:rPr><w:t xml:space="preserve">We must pay a quarterly fee in arrears (the “Commitment Fee”), for the </w:t></w:r></w:p><w:p><w:pPr><w:jc w:val="start"/></w:pPr><w:r><w:rPr><w:rFonts w:ascii="Times New Roman" w:hAnsi="Times New Roman" w:eastAsia="Times New Roman" w:cs="Times New Roman"/><w:sz w:val="20"/><w:szCs w:val="20"/><w:spacing w:val="0"/></w:rPr><w:t xml:space="preserve">Company’s non-use of</w:t></w:r></w:p><w:p><w:pPr><w:jc w:val="start"/></w:pPr><w:r><w:rPr><w:rFonts w:ascii="Times New Roman" w:hAnsi="Times New Roman" w:eastAsia="Times New Roman" w:cs="Times New Roman"/><w:sz w:val="20"/><w:szCs w:val="20"/></w:rPr><w:t xml:space="preserve"> available funds through August 6, 2026 (the “Revolving Termination Date”). The Commitment Fee rate is based on the Total Net Leverage Ratio. We may elect to reduce or terminate the Revolving Facility in its entirety at any time by repaying all outstanding principal, unpaid accrued interest and, with respect to any such reduction or termination of the Revolving Commitments made prior to August 6, 2022, 1.00% of the aggregate amount of the Revolving Commitments so reduced or terminated. </w:t></w:r></w:p><w:p><w:pPr><w:jc w:val="start"/></w:pPr><w:r><w:rPr><w:rFonts w:ascii="&quot;Times New Roman&quot;" w:hAnsi="&quot;Times New Roman&quot;" w:eastAsia="&quot;Times New Roman&quot;" w:cs="&quot;Times New Roman&quot;"/><w:sz w:val="20"/><w:szCs w:val="20"/><w:spacing w:val="0"/></w:rPr><w:t xml:space="preserve">Under the 2021 Credit Agreement, we are required to comply with certain financial covenants. We may not permit the Consolidated Fixed Charge Coverage Ratio at the last day of any period of four consecutive fiscal quarters, commencing with the fiscal quarter ending September 30, 2021, to be less than 1.25:1.00. Additionally, we may not permit the Consolidated Total Net Leverage Ratio at the last day of any period of four consecutive fiscal quarters, commencing with the fiscal quarter ending September 30, 2021, to exceed the following ratios: (i) for the trailing four fiscal quarters ending September 30, 2021, December 31, 2021, March 31, 2022, June 30, 2022 and September 30, 2022, a ratio of 3.50:1.00; (ii) for the trailing four fiscal quarters ending December 31, 2022, March 31, 2023, June 30, 2023 and September 30, 2023, a ratio of 3.25:1.00; and (iii) for the trailing four fiscal quarters ending December 31, 2023 and each fiscal quarter thereafter, a ratio of 3.00:1.00. </w:t></w:r></w:p><w:p><w:pPr><w:jc w:val="start"/></w:pPr><w:r><w:rPr><w:rFonts w:ascii="&quot;Times New Roman&quot;" w:hAnsi="&quot;Times New Roman&quot;" w:eastAsia="&quot;Times New Roman&quot;" w:cs="&quot;Times New Roman&quot;"/><w:sz w:val="20"/><w:szCs w:val="20"/><w:spacing w:val="0"/></w:rPr><w:t xml:space="preserve">As of September 30, 2021, we were in compliance with the financial covenants under the 2021 Credit Agreement and we had outstanding borrowings under the Revolving Facility and Term Loan Facility of the 2021 Credit Agreement of $0.0 million and $74.5 million, respectively. </w:t></w:r></w:p><w:p><w:pPr><w:jc w:val="start"/></w:pPr><w:r><w:rPr><w:rFonts w:ascii="&quot;Times New Roman&quot;" w:hAnsi="&quot;Times New Roman&quot;" w:eastAsia="&quot;Times New Roman&quot;" w:cs="&quot;Times New Roman&quot;"/><w:sz w:val="20"/><w:szCs w:val="20"/><w:b w:val="1"/><w:bCs w:val="1"/><w:i w:val="1"/><w:iCs w:val="1"/><w:spacing w:val="0"/></w:rPr><w:t xml:space="preserve">2019 Credit Agreement </w:t></w:r></w:p><w:p><w:pPr><w:jc w:val="start"/></w:pPr><w:r><w:rPr><w:rFonts w:ascii="&quot;Times New Roman&quot;" w:hAnsi="&quot;Times New Roman&quot;" w:eastAsia="&quot;Times New Roman&quot;" w:cs="&quot;Times New Roman&quot;"/><w:sz w:val="20"/><w:szCs w:val="20"/><w:spacing w:val="0"/></w:rPr><w:t xml:space="preserve">In March 2019, we, our subsidiaries and SVB, and the several other lenders thereto entered into a credit agreement, as amended (the “2019 Credit Agreement”), providing for a term loan facility of $40,000 and a revolving credit facility of up to $60,000. Both facilities were set to mature in 2024. The interest rate for the term loan facility was a floating per annum interest rate equal to the greater of 3.75% above the Wall Street Journal Prime Rate and 9.25%. The interest rate for advances under the revolving facility was a floating per annum interest rate equal to the greater of the Wall Street Journal Prime Rate and 5.50%. If we elected to prepay the loan or terminate the facilities, we were required to pay a certain percentage of the outstanding principal as a prepayment fee. A final payment fee (the “Final Payment”) of 6.5% multiplied by the original aggregate principal amount of term loan facility was due upon the earlier to occur, the maturity date of the term loan or prepayment of all outstanding principal.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In August 2021, upon entering into the 2021 Credit Agreement, we paid an aggregate amount of $70.6 million due under the 2019 Credit Agreement, including unpaid principal, accrued interest, the Final Payment and a prepayment fee, with proceeds from the 2021 Credit Agreement, and the 2019 Credit Agreement was terminated. Upon termination of the 2019 Credit Agreement, the Company recognized $1.9 million as loss on the extinguishment of the loan for the nine months ended September 30, 2021. </w:t></w:r></w:p><w:p><w:pPr><w:jc w:val="start"/></w:pPr><w:r><w:rPr><w:rFonts w:ascii="&quot;Times New Roman&quot;" w:hAnsi="&quot;Times New Roman&quot;" w:eastAsia="&quot;Times New Roman&quot;" w:cs="&quot;Times New Roman&quot;"/><w:sz w:val="20"/><w:szCs w:val="20"/><w:b w:val="1"/><w:bCs w:val="1"/><w:i w:val="1"/><w:iCs w:val="1"/><w:spacing w:val="0"/></w:rPr><w:t xml:space="preserve">Contractual Obligations and Commitments </w:t></w:r></w:p><w:p><w:pPr><w:jc w:val="start"/></w:pPr><w:r><w:rPr><w:rFonts w:ascii="Times New Roman" w:hAnsi="Times New Roman" w:eastAsia="Times New Roman" w:cs="Times New Roman"/><w:sz w:val="20"/><w:szCs w:val="20"/></w:rPr><w:t xml:space="preserve">Except as otherwise disclosed, there have been no material changes to our contractual obligations and commitments as of September 30, 2021 from those disclosed in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2020, as amended. </w:t></w:r></w:p><w:p><w:pPr><w:jc w:val="start"/></w:pPr><w:r><w:rPr><w:rFonts w:ascii="&quot;Times New Roman&quot;" w:hAnsi="&quot;Times New Roman&quot;" w:eastAsia="&quot;Times New Roman&quot;" w:cs="&quot;Times New Roman&quot;"/><w:sz w:val="20"/><w:szCs w:val="20"/><w:b w:val="1"/><w:bCs w:val="1"/><w:spacing w:val="0"/></w:rPr><w:t xml:space="preserve">Critical Accounting Policies and Significant Judgments and Estimates </w:t></w:r></w:p><w:p><w:pPr><w:jc w:val="start"/></w:pPr><w:r><w:rPr><w:rFonts w:ascii="Times New Roman" w:hAnsi="Times New Roman" w:eastAsia="Times New Roman" w:cs="Times New Roman"/><w:sz w:val="20"/><w:szCs w:val="20"/></w:rPr><w:t xml:space="preserve">Our consolidated financial statements have been prepared in accordance with GAAP. The preparation of our consolidated financial statements requires us to make estimates, assumptions and judgments that affect the reported amounts of assets, liabilities, and the disclosure at the date of the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consolidated statements of operations, liquidity and financial condition. See also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fiscal year ended December 31, 2020, as amended, for information about these accounting policies as well as a description of our other significant accounting policies. </w:t></w:r></w:p><w:p><w:pPr><w:jc w:val="start"/></w:pPr><w:r><w:rPr><w:rFonts w:ascii="&quot;Times New Roman&quot;" w:hAnsi="&quot;Times New Roman&quot;" w:eastAsia="&quot;Times New Roman&quot;" w:cs="&quot;Times New Roman&quot;"/><w:sz w:val="20"/><w:szCs w:val="20"/><w:b w:val="1"/><w:bCs w:val="1"/><w:spacing w:val="0"/></w:rPr><w:t xml:space="preserve">Emerging Growth Company Status </w:t></w:r></w:p><w:p><w:pPr><w:jc w:val="start"/></w:pPr><w:r><w:rPr><w:rFonts w:ascii="Times New Roman" w:hAnsi="Times New Roman" w:eastAsia="Times New Roman" w:cs="Times New Roman"/><w:sz w:val="20"/><w:szCs w:val="20"/></w:rPr><w:t xml:space="preserve">We are an “emerging growth company,” as defined in the Jumpstart Our Business Startups Act of 2012, or the JOBS Act, and we may take advantage of certain exemptions from various reporting requirements that are applicable to other public companies that are not emerging growth companies. We may take advantage of these exemptions until we are no longer an emerging growth company. Section 107 of the JOBS Act provides that an emerging growth company can take advantage of the extended transition period afforded by the JOBS Act for the implementation of new or revised accounting standards. We have elected to use the extended transition period for complying with new or revised accounting standards (such as </w:t></w:r></w:p><w:p><w:pPr><w:jc w:val="start"/></w:pPr><w:r><w:rPr><w:rFonts w:ascii="Times New Roman" w:hAnsi="Times New Roman" w:eastAsia="Times New Roman" w:cs="Times New Roman"/><w:sz w:val="20"/><w:szCs w:val="20"/><w:spacing w:val="0"/></w:rPr><w:t xml:space="preserve">ASU 2016-02,</w:t></w:r></w:p><w:p><w:pPr><w:jc w:val="start"/></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sz w:val="20"/><w:szCs w:val="20"/><w:i w:val="1"/><w:iCs w:val="1"/><w:spacing w:val="0"/></w:rPr><w:t xml:space="preserve">Leases</w:t></w:r></w:p><w:p><w:pPr><w:jc w:val="start"/></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sz w:val="20"/><w:szCs w:val="20"/><w:i w:val="1"/><w:iCs w:val="1"/><w:spacing w:val="0"/></w:rPr><w:t xml:space="preserve">(Topic 842)</w:t></w:r></w:p><w:p><w:pPr><w:jc w:val="start"/></w:pPr><w:r><w:rPr><w:rFonts w:ascii="Times New Roman" w:hAnsi="Times New Roman" w:eastAsia="Times New Roman" w:cs="Times New Roman"/><w:sz w:val="20"/><w:szCs w:val="20"/></w:rPr><w:t xml:space="preserve">) and, as a result of this election, our financial statements may not be comparable to companies that comply with public company effective dates. We may take advantage of these exemptions up until December 31, 2021. </w:t></w:r></w:p><w:p><w:pPr><w:jc w:val="start"/></w:pPr><w:r><w:rPr><w:rFonts w:ascii="&quot;Times New Roman&quot;" w:hAnsi="&quot;Times New Roman&quot;" w:eastAsia="&quot;Times New Roman&quot;" w:cs="&quot;Times New Roman&quot;"/><w:sz w:val="20"/><w:szCs w:val="20"/><w:b w:val="1"/><w:bCs w:val="1"/><w:spacing w:val="0"/></w:rPr><w:t xml:space="preserve">Off-Balance</w:t></w:r></w:p><w:p><w:pPr><w:jc w:val="start"/></w:pPr><w:r><w:rPr><w:rFonts w:ascii="&quot;Times New Roman&quot;" w:hAnsi="&quot;Times New Roman&quot;" w:eastAsia="&quot;Times New Roman&quot;" w:cs="&quot;Times New Roman&quot;"/><w:sz w:val="20"/><w:szCs w:val="20"/><w:b w:val="1"/><w:bCs w:val="1"/></w:rPr><w:t xml:space="preserve"> Sheet Arrangements </w:t></w:r></w:p><w:p><w:pPr><w:jc w:val="start"/></w:pPr><w:r><w:rPr><w:rFonts w:ascii="Times New Roman" w:hAnsi="Times New Roman" w:eastAsia="Times New Roman" w:cs="Times New Roman"/><w:sz w:val="20"/><w:szCs w:val="20"/></w:rPr><w:t xml:space="preserve">We did not have, during the periods presented, and we do not currently have, any </w:t></w:r></w:p><w:p><w:pPr><w:jc w:val="start"/></w:pPr><w:r><w:rPr><w:rFonts w:ascii="Times New Roman" w:hAnsi="Times New Roman" w:eastAsia="Times New Roman" w:cs="Times New Roman"/><w:sz w:val="20"/><w:szCs w:val="20"/><w:spacing w:val="0"/></w:rPr><w:t xml:space="preserve">off-balance</w:t></w:r></w:p><w:p><w:pPr><w:jc w:val="start"/></w:pPr><w:r><w:rPr><w:rFonts w:ascii="Times New Roman" w:hAnsi="Times New Roman" w:eastAsia="Times New Roman" w:cs="Times New Roman"/><w:sz w:val="20"/><w:szCs w:val="20"/></w:rPr><w:t xml:space="preserve"> sheet arrangements, as defined in the rules and regulations of the SEC.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hyperlink w:anchor="toc" w:history="1"><w:r><w:rPr/><w:t xml:space="preserve"></w:t></w:r></w:hyperlink></w:p><w:p><w:pPr><w:jc w:val="start"/></w:pPr><w:r><w:rPr><w:rFonts w:ascii="&quot;Times New Roman&quot;" w:hAnsi="&quot;Times New Roman&quot;" w:eastAsia="&quot;Times New Roman&quot;" w:cs="&quot;Times New Roman&quot;"/><w:sz w:val="20"/><w:szCs w:val="20"/><w:b w:val="1"/><w:bCs w:val="1"/><w:spacing w:val="0"/></w:rPr><w:t xml:space="preserve">Recently Issued Accounting Pronouncements </w:t></w:r></w:p><w:p><w:pPr><w:jc w:val="start"/></w:pPr><w:r><w:rPr><w:rFonts w:ascii="Times New Roman" w:hAnsi="Times New Roman" w:eastAsia="Times New Roman" w:cs="Times New Roman"/><w:sz w:val="20"/><w:szCs w:val="20"/></w:rPr><w:t xml:space="preserve">We have reviewed all recently issued standards as disclosed in Note “2. Summary of Significant Accounting Policies” to our consolidated financial statements included in this Report on </w:t></w:r></w:p><w:p><w:pPr><w:jc w:val="start"/></w:pPr><w:r><w:rPr><w:rFonts w:ascii="Times New Roman" w:hAnsi="Times New Roman" w:eastAsia="Times New Roman" w:cs="Times New Roman"/><w:sz w:val="20"/><w:szCs w:val="20"/><w:spacing w:val="0"/></w:rPr><w:t xml:space="preserve">Form 10-Q.</w:t></w:r></w:p><w:p><w:pPr><w:jc w:val="start"/></w:pPr><w:r><w:rPr><w:rFonts w:ascii="Times New Roman" w:hAnsi="Times New Roman" w:eastAsia="Times New Roman" w:cs="Times New Roman"/><w:sz w:val="20"/><w:szCs w:val="20"/></w:rPr><w:t xml:space="preserve"> </w:t></w:r></w:p><w:p><w:pPr><w:jc w:val="start"/></w:pPr><w:r><w:rPr><w:rFonts w:ascii="&quot;Times New Roman&quot;" w:hAnsi="&quot;Times New Roman&quot;" w:eastAsia="&quot;Times New Roman&quot;" w:cs="&quot;Times New Roman&quot;"/><w:sz w:val="20"/><w:szCs w:val="20"/><w:b w:val="1"/><w:bCs w:val="1"/><w:spacing w:val="0"/></w:rPr><w:t xml:space="preserve">Item 3. Quantitative and Qualitative Disclosures about Market Risk. </w:t></w:r></w:p><w:p><w:pPr><w:jc w:val="start"/></w:pPr><w:r><w:rPr><w:rFonts w:ascii="Times New Roman" w:hAnsi="Times New Roman" w:eastAsia="Times New Roman" w:cs="Times New Roman"/><w:sz w:val="20"/><w:szCs w:val="20"/></w:rPr><w:t xml:space="preserve">Pursuant to Item 305(e) of Regulation </w:t></w:r></w:p><w:p><w:pPr><w:jc w:val="start"/></w:pPr><w:r><w:rPr><w:rFonts w:ascii="Times New Roman" w:hAnsi="Times New Roman" w:eastAsia="Times New Roman" w:cs="Times New Roman"/><w:sz w:val="20"/><w:szCs w:val="20"/><w:spacing w:val="0"/></w:rPr><w:t xml:space="preserve">S-K, the</w:t></w:r></w:p><w:p><w:pPr><w:jc w:val="start"/></w:pPr><w:r><w:rPr><w:rFonts w:ascii="Times New Roman" w:hAnsi="Times New Roman" w:eastAsia="Times New Roman" w:cs="Times New Roman"/><w:sz w:val="20"/><w:szCs w:val="20"/></w:rPr><w:t xml:space="preserve"> Company is not required to provide the information required by this Item as it is a “smaller reporting company,” as defined by Rule 229.10(f)(1). </w:t></w:r></w:p><w:p><w:pPr><w:jc w:val="start"/></w:pPr><w:r><w:rPr><w:rFonts w:ascii="&quot;Times New Roman&quot;" w:hAnsi="&quot;Times New Roman&quot;" w:eastAsia="&quot;Times New Roman&quot;" w:cs="&quot;Times New Roman&quot;"/><w:sz w:val="20"/><w:szCs w:val="20"/><w:b w:val="1"/><w:bCs w:val="1"/><w:spacing w:val="0"/></w:rPr><w:t xml:space="preserve">Item 4. Controls and Procedures </w:t></w:r></w:p><w:p><w:pPr><w:jc w:val="start"/></w:pPr><w:r><w:rPr><w:rFonts w:ascii="&quot;Times New Roman&quot;" w:hAnsi="&quot;Times New Roman&quot;" w:eastAsia="&quot;Times New Roman&quot;" w:cs="&quot;Times New Roman&quot;"/><w:sz w:val="20"/><w:szCs w:val="20"/><w:b w:val="1"/><w:bCs w:val="1"/><w:spacing w:val="0"/></w:rPr><w:t xml:space="preserve">Evaluation of Disclosure Controls and Procedures </w:t></w:r></w:p><w:p><w:pPr><w:jc w:val="start"/></w:pPr><w:r><w:rPr><w:rFonts w:ascii="&quot;Times New Roman&quot;" w:hAnsi="&quot;Times New Roman&quot;" w:eastAsia="&quot;Times New Roman&quot;" w:cs="&quot;Times New Roman&quot;"/><w:sz w:val="20"/><w:szCs w:val="20"/><w:b w:val="1"/><w:bCs w:val="1"/><w:i w:val="1"/><w:iCs w:val="1"/><w:spacing w:val="0"/></w:rPr><w:t xml:space="preserve">Material Weaknesses on Internal Control over Financial Reporting </w:t></w:r></w:p><w:p><w:pPr><w:jc w:val="start"/></w:pPr><w:r><w:rPr><w:rFonts w:ascii="Times New Roman" w:hAnsi="Times New Roman" w:eastAsia="Times New Roman" w:cs="Times New Roman"/><w:sz w:val="20"/><w:szCs w:val="20"/></w:rPr><w:t xml:space="preserve">The Company’s management, with the participation of its principal executive officer and principal financial officer, evaluated the effectiveness of its disclosure controls and procedures as of September 30, 2021. The term “disclosure controls and procedures,” as defined in </w:t></w:r></w:p><w:p><w:pPr><w:jc w:val="start"/></w:pPr><w:r><w:rPr><w:rFonts w:ascii="Times New Roman" w:hAnsi="Times New Roman" w:eastAsia="Times New Roman" w:cs="Times New Roman"/><w:sz w:val="20"/><w:szCs w:val="20"/><w:spacing w:val="0"/></w:rPr><w:t xml:space="preserve">Rules 13a-15(e) and15d-15(e) under</w:t></w:r></w:p><w:p><w:pPr><w:jc w:val="start"/></w:pPr><w:r><w:rPr><w:rFonts w:ascii="Times New Roman" w:hAnsi="Times New Roman" w:eastAsia="Times New Roman" w:cs="Times New Roman"/><w:sz w:val="20"/><w:szCs w:val="20"/></w:rPr><w:t xml:space="preserve">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rules and forms promulgated by the Securities and Exchange Commission (the “SEC”).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 Management recognizes that any controls and procedures, no matter how well designed and operated, can provide only reasonable assurance of achieving their objectives and management necessarily applies its judgment in evaluating the cost-benefit relationship of possible controls and procedures. </w:t></w:r></w:p><w:p><w:pPr><w:jc w:val="start"/></w:pPr><w:r><w:rPr><w:rFonts w:ascii="&quot;Times New Roman&quot;" w:hAnsi="&quot;Times New Roman&quot;" w:eastAsia="&quot;Times New Roman&quot;" w:cs="&quot;Times New Roman&quot;"/><w:sz w:val="20"/><w:szCs w:val="20"/><w:spacing w:val="0"/></w:rPr><w:t xml:space="preserve">Because of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Accordingly, even effective internal control over financial reporting can only provide reasonable assurance of achieving their control objectives. </w:t></w:r></w:p><w:p><w:pPr><w:jc w:val="start"/></w:pPr><w:r><w:rPr><w:rFonts w:ascii="&quot;Times New Roman&quot;" w:hAnsi="&quot;Times New Roman&quot;" w:eastAsia="&quot;Times New Roman&quot;" w:cs="&quot;Times New Roman&quot;"/><w:sz w:val="20"/><w:szCs w:val="20"/><w:spacing w:val="0"/></w:rPr><w:t xml:space="preserve">Under the supervision and with the participation of our management, including our principal executive officer and principal financial officer, our management has assessed the effectiveness of our internal control over financial reporting based on the criteria set forth in the Internal Control-Integrated Framework (2013) issued by the Committee of Sponsoring Organizations of the Treadway Commission (COSO). </w:t></w:r></w:p><w:p><w:pPr><w:jc w:val="start"/></w:pPr><w:r><w:rPr><w:rFonts w:ascii="Times New Roman" w:hAnsi="Times New Roman" w:eastAsia="Times New Roman" w:cs="Times New Roman"/><w:sz w:val="20"/><w:szCs w:val="20"/></w:rPr><w:t xml:space="preserve">As previously disclosed under “Item 9A. Controls and Procedures” in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our fiscal year ended December 31, 2020, as amended, we identified the following material weakness that existed as of December 31, 2020 and continued to exist at September 30, 2021. A material weakness is a control deficiency or a combination of control deficiencies that results in more than a remote likelihood that a material misstatement of the annual or interim financial statements will not be prevented or detected. </w:t></w:r></w:p><w:p><w:pPr><w:jc w:val="start"/></w:pPr><w:r><w:rPr><w:rFonts w:ascii="&quot;Times New Roman&quot;" w:hAnsi="&quot;Times New Roman&quot;" w:eastAsia="&quot;Times New Roman&quot;" w:cs="&quot;Times New Roman&quot;"/><w:sz w:val="20"/><w:szCs w:val="20"/><w:spacing w:val="0"/></w:rPr><w:t xml:space="preserve">We did not design and maintain formal accounting, business operations, and Information Technology policies, procedures and controls to achieve complete, accurate and timely financial accounting, reporting and disclosures, including (i) formalized policies and procedures for reviews over account reconciliations, journal entries, and other accounting analyses and memos and procedures to ensure completeness and accuracy of information used in these review controls and (ii) controls to support the objectives of proper segregation of the initiation of transactions, the recording of transactions, and the custody of assets. </w:t></w:r></w:p><w:p><w:pPr><w:jc w:val="start"/></w:pPr><w:r><w:rPr><w:rFonts w:ascii="&quot;Times New Roman&quot;" w:hAnsi="&quot;Times New Roman&quot;" w:eastAsia="&quot;Times New Roman&quot;" w:cs="&quot;Times New Roman&quot;"/><w:sz w:val="20"/><w:szCs w:val="20"/><w:spacing w:val="0"/></w:rPr><w:t xml:space="preserve">Because of the deficiencies noted above, in consultation with management, our principal executive officer and principal financial officer concluded that we did not maintain effective internal control over financial reporting and our disclosure controls and procedures were not effective as of both December 31, 2020 and September 30, 2021, based on the criteria in Internal Control—Integrated Framework (2013) issued by COSO.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Plans for Remediation of Material Weakness </w:t></w:r></w:p><w:p><w:pPr><w:jc w:val="start"/></w:pPr><w:r><w:rPr><w:rFonts w:ascii="&quot;Times New Roman&quot;" w:hAnsi="&quot;Times New Roman&quot;" w:eastAsia="&quot;Times New Roman&quot;" w:cs="&quot;Times New Roman&quot;"/><w:sz w:val="20"/><w:szCs w:val="20"/><w:spacing w:val="0"/></w:rPr><w:t xml:space="preserve">Management has taken actions to remediate the deficiencies in its internal controls over financial reporting and implemented additional processes and controls designed to address the underlying causes associated with the above-mentioned material weakness. Although the Company has made significant progress in remediating the aforementioned deficiencies, management did not perform sufficient control testing to conclude that the controls were operating effectively for a reasonable period of time. </w:t></w:r></w:p><w:p><w:pPr><w:jc w:val="start"/></w:pPr><w:r><w:rPr><w:rFonts w:ascii="&quot;Times New Roman&quot;" w:hAnsi="&quot;Times New Roman&quot;" w:eastAsia="&quot;Times New Roman&quot;" w:cs="&quot;Times New Roman&quot;"/><w:sz w:val="20"/><w:szCs w:val="20"/><w:spacing w:val="0"/></w:rPr><w:t xml:space="preserve">Management is committed to finalizing the remediation of the material weakness during 2021. Management’s internal control remediation efforts include the following: </w:t></w:r></w:p><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In 2019, we began the implementation of a new company-wide enterprise resource planning system to provide additional systematic controls and segregation of duties for our accounting processes. We anticipate that the enterprise resource planning system will go live during the first half of 2022.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have designed and implemented more effective controls throughout 2019 and 2020.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completed the risk assessment activities by evaluating whether the design of our internal controls appropriately addresses changes in the business (including changes to people, processes and systems) that could impact our system of internal controls.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designed controls that address the completeness and accuracy of any key reports utilized in the execution of internal controls.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reported regularly to the audit committee on the progress and results of control remediation.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developed and executed upon a monitoring protocol that allows the Company to validate the operating effectiveness of certain controls over financial reporting to gain assurance that such controls are present and functioning as designed. </w:t></w:r></w:p></w:tc></w:tr></w:tbl><w:p><w:pPr><w:jc w:val="start"/></w:pPr><w:r><w:rPr><w:rFonts w:ascii="&quot;Times New Roman&quot;" w:hAnsi="&quot;Times New Roman&quot;" w:eastAsia="&quot;Times New Roman&quot;" w:cs="&quot;Times New Roman&quot;"/><w:sz w:val="20"/><w:szCs w:val="20"/><w:spacing w:val="0"/></w:rPr><w:t xml:space="preserve">We also continue to engage an outside firm to assist management with performing sufficient testing throughout the year to validate the operating effectiveness of certain controls over financial reporting. </w:t></w:r></w:p><w:p><w:pPr><w:jc w:val="start"/></w:pPr><w:r><w:rPr><w:rFonts w:ascii="&quot;Times New Roman&quot;" w:hAnsi="&quot;Times New Roman&quot;" w:eastAsia="&quot;Times New Roman&quot;" w:cs="&quot;Times New Roman&quot;"/><w:sz w:val="20"/><w:szCs w:val="20"/><w:spacing w:val="0"/></w:rPr><w:t xml:space="preserve">Management believes these actions will be effective in remediating the material weakness described above. As management continues to evaluate and work to improve its internal control over financial reporting, management may determine it is necessary to take additional measures to address the material weakness. Until the controls have been operating for a sufficient period of time and management has concluded, through testing, that these controls are operating effectively, the material weakness described above will continue to exist. </w:t></w:r></w:p><w:p><w:pPr><w:jc w:val="start"/></w:pPr><w:r><w:rPr><w:rFonts w:ascii="&quot;Times New Roman&quot;" w:hAnsi="&quot;Times New Roman&quot;" w:eastAsia="&quot;Times New Roman&quot;" w:cs="&quot;Times New Roman&quot;"/><w:sz w:val="20"/><w:szCs w:val="20"/><w:b w:val="1"/><w:bCs w:val="1"/><w:spacing w:val="0"/></w:rPr><w:t xml:space="preserve">Changes in Internal Control Over Financial Reporting </w:t></w:r></w:p><w:p><w:pPr><w:jc w:val="start"/></w:pPr><w:r><w:rPr><w:rFonts w:ascii="&quot;Times New Roman&quot;" w:hAnsi="&quot;Times New Roman&quot;" w:eastAsia="&quot;Times New Roman&quot;" w:cs="&quot;Times New Roman&quot;"/><w:sz w:val="20"/><w:szCs w:val="20"/><w:spacing w:val="0"/></w:rPr><w:t xml:space="preserve">There have been no changes in our internal control over financial reporting that occurred during the quarter ended September 30, 2021 that have materially affected, or are reasonably likely to materially affect, our internal control over financial reporting other than those described above related to remediation efforts. However, as the implementation of the new ERP system continues, we will change our processes and procedures, which in turn, could result in changes to our internal control over financial reporting. As such changes occur, we will evaluate quarterly whether such changes materially affect our internal control over financial reporting. </w:t></w:r></w:p><w:p><w:pPr><w:jc w:val="start"/></w:pPr><w:r><w:rPr><w:rFonts w:ascii="&quot;Times New Roman&quot;" w:hAnsi="&quot;Times New Roman&quot;" w:eastAsia="&quot;Times New Roman&quot;" w:cs="&quot;Times New Roman&quot;"/><w:sz w:val="20"/><w:szCs w:val="20"/><w:b w:val="1"/><w:bCs w:val="1"/><w:spacing w:val="0"/></w:rPr><w:t xml:space="preserve">PART II – OTHER INFORMATION </w:t></w:r></w:p><w:p><w:pPr><w:jc w:val="start"/></w:pPr><w:r><w:rPr><w:rFonts w:ascii="&quot;Times New Roman&quot;" w:hAnsi="&quot;Times New Roman&quot;" w:eastAsia="&quot;Times New Roman&quot;" w:cs="&quot;Times New Roman&quot;"/><w:sz w:val="20"/><w:szCs w:val="20"/><w:b w:val="1"/><w:bCs w:val="1"/><w:spacing w:val="0"/></w:rPr><w:t xml:space="preserve">Item 1. Legal Proceedings </w:t></w:r></w:p><w:p><w:pPr><w:jc w:val="start"/></w:pPr><w:r><w:rPr><w:rFonts w:ascii="&quot;Times New Roman&quot;" w:hAnsi="&quot;Times New Roman&quot;" w:eastAsia="&quot;Times New Roman&quot;" w:cs="&quot;Times New Roman&quot;"/><w:sz w:val="20"/><w:szCs w:val="20"/><w:spacing w:val="0"/></w:rPr><w:t xml:space="preserve">We are not a party to any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 </w:t></w:r></w:p><w:p><w:pPr><w:jc w:val="start"/></w:pPr><w:r><w:rPr><w:rFonts w:ascii="&quot;Times New Roman&quot;" w:hAnsi="&quot;Times New Roman&quot;" w:eastAsia="&quot;Times New Roman&quot;" w:cs="&quot;Times New Roman&quot;"/><w:sz w:val="20"/><w:szCs w:val="20"/><w:b w:val="1"/><w:bCs w:val="1"/><w:spacing w:val="0"/></w:rPr><w:t xml:space="preserve">Item 1A. Risk Factors </w:t></w:r></w:p><w:p><w:pPr><w:jc w:val="start"/></w:pPr><w:r><w:rPr><w:rFonts w:ascii="Times New Roman" w:hAnsi="Times New Roman" w:eastAsia="Times New Roman" w:cs="Times New Roman"/><w:sz w:val="20"/><w:szCs w:val="20"/></w:rPr><w:t xml:space="preserve">Investing in our common stock involves a high degree of risk.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2020, as amended, includes a detailed discussion of our risk factors under the heading “Part I, Item 1A—Risk Factors.” Except as set forth below, there have been no material changes from such risk factors during the quarter ended September 30, 2021. You should consider carefully the risk factors discussed in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2020, as amended, and all other information contained in or incorporated by reference in this Quarterly Report on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rPr><w:t xml:space="preserve"> before making an investment decision. If any of the risks discussed in the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2020, as amended, or herein actually occur, they may materially harm our business, financial condition, operating results, cash flows or growth prospects. As a result, the market price of our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The rate of reimbursement and coverage for the purchase of our products by government and private insurance (including by Medicare Administrative Contractors, or MACs) is subject to uncertainty. </w:t></w:r></w:p><w:p><w:pPr><w:jc w:val="start"/></w:pPr><w:r><w:rPr><w:rFonts w:ascii="&quot;Times New Roman&quot;" w:hAnsi="&quot;Times New Roman&quot;" w:eastAsia="&quot;Times New Roman&quot;" w:cs="&quot;Times New Roman&quot;"/><w:sz w:val="20"/><w:szCs w:val="20"/><w:spacing w:val="0"/></w:rPr><w:t xml:space="preserve">Our products are subject to varying forms of governmental and private payor reimbursement, and fluctuations in these forms of payment may adversely affect our business. For example, in sites of service where payment for skin substitutes is based on the Average Sales Price (“ASP”) methodology, Medicare pays for skin substitutes separately from the application procedure. In this case, the Medicare payment rate for all skin substitutes (including ours) is calculated based on the manufacturer’s reported ASP on a per square centimeter basis. These rates are adjusted quarterly based on manufacturer ASP reporting, and the payment amount is ASP plus 6%; starting on April 1, 2021, the payment rate will be adjusted to ASP plus 4.3% under the statutorily-mandated sequestration. Currently, the Medicare statute does not require us to report ASP for our products because they are regulated by the FDA as medical devices. However, starting in January 2022, we may be required to report ASP for our products based on a provision within the Consolidated Appropriations Act of 2020, signed into law on December 27, 2020. </w:t></w:r></w:p><w:p><w:pPr><w:jc w:val="start"/></w:pPr><w:r><w:rPr><w:rFonts w:ascii="&quot;Times New Roman&quot;" w:hAnsi="&quot;Times New Roman&quot;" w:eastAsia="&quot;Times New Roman&quot;" w:cs="&quot;Times New Roman&quot;"/><w:sz w:val="20"/><w:szCs w:val="20"/><w:spacing w:val="0"/></w:rPr><w:t xml:space="preserve">When ASP data are not available in the quarterly ASP file published by CMS (for instance for newer products or, with respect to our Affinity product in the fourth quarter of 2021), the Part A/B MACs establish payment for drugs and biologics in their jurisdiction(s). In these situations, MACs can update their reimbursement methodology as frequently as quarterly, without notice. MACs also have the discretion to establish coverage policies for all skin substitute products (including ours). Accordingly, even if coverage and reimbursement are provided, market acceptance of our products has been and will be adversely affected if access to coverage is administratively burdensome to obtain, use of our products is administratively burdensome, or is unprofitable for healthcare providers or less profitable than alternative treatments. </w:t></w:r></w:p><w:p><w:pPr><w:jc w:val="start"/></w:pPr><w:r><w:rPr><w:rFonts w:ascii="&quot;Times New Roman&quot;" w:hAnsi="&quot;Times New Roman&quot;" w:eastAsia="&quot;Times New Roman&quot;" w:cs="&quot;Times New Roman&quot;"/><w:sz w:val="20"/><w:szCs w:val="20"/><w:b w:val="1"/><w:bCs w:val="1"/><w:i w:val="1"/><w:iCs w:val="1"/><w:spacing w:val="0"/></w:rPr><w:t xml:space="preserve">On May 6, 2021, we ceased to qualify as a “controlled company” within the meaning of the Nasdaq rules. Although we are no longer a controlled company, during the </w:t></w:r></w:p><w:p><w:pPr><w:jc w:val="start"/></w:pPr><w:r><w:rPr><w:rFonts w:ascii="&quot;Times New Roman&quot;" w:hAnsi="&quot;Times New Roman&quot;" w:eastAsia="&quot;Times New Roman&quot;" w:cs="&quot;Times New Roman&quot;"/><w:sz w:val="20"/><w:szCs w:val="20"/><w:b w:val="1"/><w:bCs w:val="1"/><w:i w:val="1"/><w:iCs w:val="1"/><w:spacing w:val="0"/></w:rPr><w:t xml:space="preserve">phase-in</w:t></w:r></w:p><w:p><w:pPr><w:jc w:val="start"/></w:pPr><w:r><w:rPr><w:rFonts w:ascii="&quot;Times New Roman&quot;" w:hAnsi="&quot;Times New Roman&quot;" w:eastAsia="&quot;Times New Roman&quot;" w:cs="&quot;Times New Roman&quot;"/><w:sz w:val="20"/><w:szCs w:val="20"/><w:b w:val="1"/><w:bCs w:val="1"/><w:i w:val="1"/><w:iCs w:val="1"/><w:spacing w:val="0"/></w:rPr><w:t xml:space="preserve"> period we may continue to rely on exemptions from certain corporate governance requirements that provide protection to stockholders of other Nasdaq listed companies. </w:t></w:r></w:p><w:p><w:pPr><w:jc w:val="start"/></w:pPr><w:r><w:rPr><w:rFonts w:ascii="&quot;Times New Roman&quot;" w:hAnsi="&quot;Times New Roman&quot;" w:eastAsia="&quot;Times New Roman&quot;" w:cs="&quot;Times New Roman&quot;"/><w:sz w:val="20"/><w:szCs w:val="20"/><w:spacing w:val="0"/></w:rPr><w:t xml:space="preserve">On May 6, 2021, upon the completion of a distribution by Organo PFG LLC, an affiliate of one of our directors and a significant stockholder, of shares of our Class A common stock to its members, we ceased to be a controlled company within the meaning of the Nasdaq rules. The Nasdaq rules exempt controlled companies from certain governance requirements including (i) the requirement that a majority of the board of directors consist of independent directors, (ii) the requirement to have a nominating and corporate governance committee that is composed entirely of independent directors with a written charter addressing the committee’s purpose and responsibilities or independent director involvement in the selection of director nominees, by having director nominees selected or recommended by a majority of its independent directors meeting in executive session and (iii) the requirement to have a compensation committee that is composed entirely of independent directors with a written charter addressing the committee’s purpose and responsibilities. </w:t></w:r></w:p><w:p><w:pPr><w:jc w:val="start"/></w:pPr><w:r><w:rPr><w:rFonts w:ascii="Times New Roman" w:hAnsi="Times New Roman" w:eastAsia="Times New Roman" w:cs="Times New Roman"/><w:sz w:val="20"/><w:szCs w:val="20"/></w:rPr><w:t xml:space="preserve">Under the Nasdaq rules, a company that ceases to be a controlled company must comply with the independent board committee requirements as they relate to the nominating and corporate governance committee (if applicable) and compensation committee on the following </w:t></w:r></w:p><w:p><w:pPr><w:jc w:val="start"/></w:pPr><w:r><w:rPr><w:rFonts w:ascii="Times New Roman" w:hAnsi="Times New Roman" w:eastAsia="Times New Roman" w:cs="Times New Roman"/><w:sz w:val="20"/><w:szCs w:val="20"/><w:spacing w:val="0"/></w:rPr><w:t xml:space="preserve">phase-in</w:t></w:r></w:p><w:p><w:pPr><w:jc w:val="start"/></w:pPr><w:r><w:rPr><w:rFonts w:ascii="Times New Roman" w:hAnsi="Times New Roman" w:eastAsia="Times New Roman" w:cs="Times New Roman"/><w:sz w:val="20"/><w:szCs w:val="20"/></w:rPr><w:t xml:space="preserve"> schedule: (1) one independent committee member at the time it ceases to be a controlled company, (2) a majority of independent committee members within 90 days of the date it ceases to be a controlled company and (3) all independent committee members within one year of the date it ceases to be a controlled company. Additionally, the Nasdaq rules provide a </w:t></w:r></w:p><w:p><w:pPr><w:jc w:val="start"/></w:pPr><w:r><w:rPr><w:rFonts w:ascii="Times New Roman" w:hAnsi="Times New Roman" w:eastAsia="Times New Roman" w:cs="Times New Roman"/><w:sz w:val="20"/><w:szCs w:val="20"/><w:spacing w:val="0"/></w:rPr><w:t xml:space="preserve">12-month</w:t></w:r></w:p><w:p><w:pPr><w:jc w:val="start"/></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sz w:val="20"/><w:szCs w:val="20"/><w:spacing w:val="0"/></w:rPr><w:t xml:space="preserve">phase-in</w:t></w:r></w:p><w:p><w:pPr><w:jc w:val="start"/></w:pPr><w:r><w:rPr><w:rFonts w:ascii="Times New Roman" w:hAnsi="Times New Roman" w:eastAsia="Times New Roman" w:cs="Times New Roman"/><w:sz w:val="20"/><w:szCs w:val="20"/></w:rPr><w:t xml:space="preserve"> period from the date a company ceases to be a controlled company to comply with the majority independent board requirement. </w:t></w:r></w:p><w:p><w:pPr><w:jc w:val="start"/></w:pPr><w:r><w:rPr><w:rFonts w:ascii="&quot;Times New Roman&quot;" w:hAnsi="&quot;Times New Roman&quot;" w:eastAsia="&quot;Times New Roman&quot;" w:cs="&quot;Times New Roman&quot;"/><w:sz w:val="20"/><w:szCs w:val="20"/><w:spacing w:val="0"/></w:rPr><w:t xml:space="preserve">Accordingly, following the loss of controlled company status on May 6, 2021, our board of directors determined to have director nominees recommended by a majority of our independent directors meeting in executive session. On August 3, 2021, the board of directors voted to establish a nominating committee of the board of directors, consisting of independent directors only. In addition, one member of our compensation committee was independent on May 6, 2021, a majority of the members of our compensation committee were independent by August 4, 2021 and all of the members of the compensation committee must be independent by May 6, 2022. A majority of the members of our board of directors must be independent by May 6, 2022. </w:t></w:r></w:p><w:p><w:pPr><w:jc w:val="start"/></w:pPr><w:r><w:rPr><w:rFonts w:ascii="Times New Roman" w:hAnsi="Times New Roman" w:eastAsia="Times New Roman" w:cs="Times New Roman"/><w:sz w:val="20"/><w:szCs w:val="20"/></w:rPr><w:t xml:space="preserve">During these </w:t></w:r></w:p><w:p><w:pPr><w:jc w:val="start"/></w:pPr><w:r><w:rPr><w:rFonts w:ascii="Times New Roman" w:hAnsi="Times New Roman" w:eastAsia="Times New Roman" w:cs="Times New Roman"/><w:sz w:val="20"/><w:szCs w:val="20"/><w:spacing w:val="0"/></w:rPr><w:t xml:space="preserve">phase-in</w:t></w:r></w:p><w:p><w:pPr><w:jc w:val="start"/></w:pPr><w:r><w:rPr><w:rFonts w:ascii="Times New Roman" w:hAnsi="Times New Roman" w:eastAsia="Times New Roman" w:cs="Times New Roman"/><w:sz w:val="20"/><w:szCs w:val="20"/></w:rPr><w:t xml:space="preserve"> periods, our stockholders will not have the same protections afforded to stockholders of companies of which the majority of directors are independent and, if, within the </w:t></w:r></w:p><w:p><w:pPr><w:jc w:val="start"/></w:pPr><w:r><w:rPr><w:rFonts w:ascii="Times New Roman" w:hAnsi="Times New Roman" w:eastAsia="Times New Roman" w:cs="Times New Roman"/><w:sz w:val="20"/><w:szCs w:val="20"/><w:spacing w:val="0"/></w:rPr><w:t xml:space="preserve">phase-in</w:t></w:r></w:p><w:p><w:pPr><w:jc w:val="start"/></w:pPr><w:r><w:rPr><w:rFonts w:ascii="Times New Roman" w:hAnsi="Times New Roman" w:eastAsia="Times New Roman" w:cs="Times New Roman"/><w:sz w:val="20"/><w:szCs w:val="20"/></w:rPr><w:t xml:space="preserve"> periods, we are not able to recruit additional directors who would qualify as independent, or otherwise comply with the Nasdaq listing requirements, we may be subject to enforcement actions by Nasdaq. In addition, a change in our board of directors and committee membership may result in a change in corporate strategy and operating philosophies, and may result in deviations from our current growth strategy.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40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Item 2. Unregistered Sales of Equity Securities and Use of Proceeds </w:t></w:r></w:p><w:p><w:pPr><w:jc w:val="start"/></w:pPr><w:r><w:rPr><w:rFonts w:ascii="&quot;Times New Roman&quot;" w:hAnsi="&quot;Times New Roman&quot;" w:eastAsia="&quot;Times New Roman&quot;" w:cs="&quot;Times New Roman&quot;"/><w:sz w:val="20"/><w:szCs w:val="20"/><w:spacing w:val="0"/></w:rPr><w:t xml:space="preserve">None. </w:t></w:r></w:p><w:p><w:pPr><w:jc w:val="start"/></w:pPr><w:r><w:rPr><w:rFonts w:ascii="&quot;Times New Roman&quot;" w:hAnsi="&quot;Times New Roman&quot;" w:eastAsia="&quot;Times New Roman&quot;" w:cs="&quot;Times New Roman&quot;"/><w:sz w:val="20"/><w:szCs w:val="20"/><w:b w:val="1"/><w:bCs w:val="1"/><w:spacing w:val="0"/></w:rPr><w:t xml:space="preserve">Item 3. Defaults Upon Senior Securities </w:t></w:r></w:p><w:p><w:pPr><w:jc w:val="start"/></w:pPr><w:r><w:rPr><w:rFonts w:ascii="&quot;Times New Roman&quot;" w:hAnsi="&quot;Times New Roman&quot;" w:eastAsia="&quot;Times New Roman&quot;" w:cs="&quot;Times New Roman&quot;"/><w:sz w:val="20"/><w:szCs w:val="20"/><w:spacing w:val="0"/></w:rPr><w:t xml:space="preserve">None. </w:t></w:r></w:p><w:p><w:pPr><w:jc w:val="start"/></w:pPr><w:r><w:rPr><w:rFonts w:ascii="&quot;Times New Roman&quot;" w:hAnsi="&quot;Times New Roman&quot;" w:eastAsia="&quot;Times New Roman&quot;" w:cs="&quot;Times New Roman&quot;"/><w:sz w:val="20"/><w:szCs w:val="20"/><w:b w:val="1"/><w:bCs w:val="1"/><w:spacing w:val="0"/></w:rPr><w:t xml:space="preserve">Item 4. Mine Safety Disclosures </w:t></w:r></w:p><w:p><w:pPr><w:jc w:val="start"/></w:pPr><w:r><w:rPr><w:rFonts w:ascii="&quot;Times New Roman&quot;" w:hAnsi="&quot;Times New Roman&quot;" w:eastAsia="&quot;Times New Roman&quot;" w:cs="&quot;Times New Roman&quot;"/><w:sz w:val="20"/><w:szCs w:val="20"/><w:spacing w:val="0"/></w:rPr><w:t xml:space="preserve">Not Applicable. </w:t></w:r></w:p><w:p><w:pPr><w:jc w:val="start"/></w:pPr><w:r><w:rPr><w:rFonts w:ascii="&quot;Times New Roman&quot;" w:hAnsi="&quot;Times New Roman&quot;" w:eastAsia="&quot;Times New Roman&quot;" w:cs="&quot;Times New Roman&quot;"/><w:sz w:val="20"/><w:szCs w:val="20"/><w:b w:val="1"/><w:bCs w:val="1"/><w:spacing w:val="0"/></w:rPr><w:t xml:space="preserve">Item 5. Other Information </w:t></w:r></w:p><w:p><w:pPr><w:jc w:val="start"/></w:pPr><w:r><w:rPr><w:rFonts w:ascii="&quot;Times New Roman&quot;" w:hAnsi="&quot;Times New Roman&quot;" w:eastAsia="&quot;Times New Roman&quot;" w:cs="&quot;Times New Roman&quot;"/><w:sz w:val="20"/><w:szCs w:val="20"/><w:spacing w:val="0"/></w:rPr><w:t xml:space="preserve">None.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41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Item 6. Exhibits </w:t></w:r></w:p><w:p><w:pPr><w:jc w:val="start"/></w:pPr><w:r><w:rPr><w:sz w:val="24"/><w:szCs w:val="24"/><w:spacing w:val="0"/></w:rPr><w:t xml:space="preserve"> </w:t></w:r></w:p><w:tbl><w:tblGrid><w:gridCol w:w="5000" w:type="dxa"/><w:gridCol w:w="150" w:type="dxa"/><w:gridCol w:w="4450" w:type="dxa"/></w:tblGrid><w:tblPr><w:tblW w:w="5000" w:type="pct"/><w:tblCellSpacing w:w="0" w:type="dxa"/><w:tblLayout w:type="autofit"/></w:tblPr><w:tr><w:trPr/><w:tc><w:tcPr><w:tcW w:w="5000" w:type="pct"/><w:noWrap/></w:tcPr><w:p><w:pPr/></w:p></w:tc><w:tc><w:tcPr><w:tcW w:w="150" w:type="pct"/><w:vAlign w:val="bottom"/><w:noWrap/></w:tcPr><w:p><w:pPr/></w:p></w:tc><w:tc><w:tcPr><w:tcW w:w="4450" w:type="pct"/><w:noWrap/></w:tcPr><w:p><w:pPr/></w:p></w:tc></w:tr><w:tr><w:trPr/><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Exhibit</w:t></w:r><w:r><w:rPr><w:rFonts w:ascii="&quot;Times New Roman&quot;" w:hAnsi="&quot;Times New Roman&quot;" w:eastAsia="&quot;Times New Roman&quot;" w:cs="&quot;Times New Roman&quot;"/><w:sz w:val="16"/><w:szCs w:val="16"/><w:b w:val="1"/><w:bCs w:val="1"/><w:spacing w:val="0"/></w:rPr><w:t xml:space="preserve">number</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Description</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8" w:history="1"><w:r><w:rPr/><w:t xml:space="preserve">Bylaws of Organogenesis Holdings Inc. (incorporated by reference to Exhibit 3.2 to the Company’s Registration Statement on Form S-3/A (File No. 333-233621) filed with the SEC on September 16, 2019)</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9" w:history="1"><w:r><w:rPr/><w:t xml:space="preserve">Credit Agreement dated and effective as of August 6, 2021 among Organogenesis Holdings Inc., as borrower, Organogenesis Inc. and Prime Merger Sub, LLC, as guarantors, and Silicon Valley Bank, as Administrative Agent, Lead Arranger, Bookrunner, Issuing Lender and Swingline Lender, and Silicon Valley Bank and the several other lenders from time to time party thereto, collectively as Lenders (incorporated by reference to Exhibit 10.1 to the Company’s Current Report on Form 8-K (File No. 001-37906) filed with the SEC on August 9,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0" w:history="1"><w:r><w:rPr/><w:t xml:space="preserve">Purchase and Sale Agreement dated as of August 11, 2021 by and between Organogenesis Inc. and 275 Dan Road SPE, LLC (incorporated by reference to Exhibit 10.1 to the Company’s Current Report on Form 8-K (File No. 001-37906) filed with the SEC on August 16,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31.1†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1" w:history="1"><w:r><w:rPr/><w:t xml:space="preserve">Certification of Principal Executive Officer pursuant to Rule 13a-14(a) or Rule 15d-14(a) of the Securities Exchange Act of 1934, as adopted pursuant to Section 302 of the Sarbanes-Oxley Act of 2002</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31.2†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2" w:history="1"><w:r><w:rPr/><w:t xml:space="preserve">Certification of Principal Financial Officer pursuant to Rule 13a-14(a) or Rule 15d-14(a) of the Securities Exchange Act of 1934, as adopted pursuant to Section 302 of the Sarbanes-Oxley Act of 2002</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32.1†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3" w:history="1"><w:r><w:rPr/><w:t xml:space="preserve">Certification of Principal Executive Officer and Principal Financial Officer pursuant to 18 U.S.C. Section 1350, as adopted pursuant to Section 906 of the Sarbanes-Oxley Act of 2002</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101.INS†</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XBRL Instance Document XBRL</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101.SCH†</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XBRL Taxonomy Extension Schema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101.CAL†</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XBRL Taxonomy Extension Calculation Linkbase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101.DEF†</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XBRL Taxonomy Extension Definition Linkbase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101.LAB†</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XBRL Taxonomy Extension Label Linkbase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101.PRE†</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XBRL Taxonomy Extension Presentation Linkbase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Cover Page Interactive Data File (formatted as Inline XBRL and contained in Exhibit 101).</w:t></w:r></w:p></w:tc></w:tr></w:tbl><w:p><w:pPr><w:jc w:val="start"/></w:pPr><w:r><w:rPr><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i w:val="1"/><w:iCs w:val="1"/><w:spacing w:val="0"/></w:rPr><w:t xml:space="preserve">†</w:t></w:r></w:p></w:tc><w:tc><w:tcPr><w:tcW w:w="5000" w:type="pct"/><w:vAlign w:val="top"/><w:noWrap/></w:tcPr><w:p><w:pPr><w:jc w:val="start"/></w:pPr><w:r><w:rPr><w:rFonts w:ascii="&quot;Times New Roman&quot;" w:hAnsi="&quot;Times New Roman&quot;" w:eastAsia="&quot;Times New Roman&quot;" w:cs="&quot;Times New Roman&quot;"/><w:sz w:val="20"/><w:szCs w:val="20"/><w:i w:val="1"/><w:iCs w:val="1"/><w:spacing w:val="0"/></w:rPr><w:t xml:space="preserve">Filed herewith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42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SIGNATURES </w:t></w:r></w:p><w:p><w:pPr><w:jc w:val="start"/></w:pPr><w:r><w:rPr><w:rFonts w:ascii="&quot;Times New Roman&quot;" w:hAnsi="&quot;Times New Roman&quot;" w:eastAsia="&quot;Times New Roman&quot;" w:cs="&quot;Times New Roman&quot;"/><w:sz w:val="20"/><w:szCs w:val="20"/><w:spacing w:val="0"/></w:rPr><w:t xml:space="preserve">Pursuant to the requirements of the Securities Exchange Act of 1934, the registrant has duly caused this report to be signed on its behalf by the undersigned thereunto duly authorized. </w:t></w:r></w:p><w:p><w:pPr><w:jc w:val="start"/></w:pPr><w:r><w:rPr><w:sz w:val="24"/><w:szCs w:val="24"/><w:spacing w:val="0"/></w:rPr><w:t xml:space="preserve"> </w:t></w:r></w:p><w:tbl><w:tblGrid><w:gridCol w:w="2350" w:type="dxa"/><w:gridCol w:w="50" w:type="dxa"/><w:gridCol w:w="200" w:type="dxa"/><w:gridCol w:w="5000" w:type="dxa"/><w:gridCol w:w="5000" w:type="dxa"/><w:gridCol w:w="50" w:type="dxa"/><w:gridCol w:w="2300" w:type="dxa"/></w:tblGrid><w:tblPr><w:tblW w:w="5000" w:type="pct"/><w:tblCellSpacing w:w="0" w:type="dxa"/><w:tblLayout w:type="autofit"/></w:tblPr><w:tr><w:trPr/><w:tc><w:tcPr><w:tcW w:w="2350" w:type="pct"/><w:noWrap/></w:tcPr><w:p><w:pPr/></w:p></w:tc><w:tc><w:tcPr><w:tcW w:w="50" w:type="pct"/><w:vAlign w:val="bottom"/><w:noWrap/></w:tcPr><w:p><w:pPr/></w:p></w:tc><w:tc><w:tcPr><w:tcW w:w="200" w:type="pct"/><w:noWrap/></w:tcPr><w:p><w:pPr/></w:p></w:tc><w:tc><w:tcPr><w:tcW w:w="5000" w:type="pct"/><w:vAlign w:val="bottom"/><w:noWrap/></w:tcPr><w:p><w:pPr/></w:p></w:tc><w:tc><w:tcPr><w:tcW w:w="5000" w:type="pct"/><w:noWrap/></w:tcPr><w:p><w:pPr/></w:p></w:tc><w:tc><w:tcPr><w:tcW w:w="50" w:type="pct"/><w:vAlign w:val="bottom"/><w:noWrap/></w:tcPr><w:p><w:pPr/></w:p></w:tc><w:tc><w:tcPr><w:tcW w:w="2300" w:type="pct"/><w:noWrap/></w:tcPr><w:p><w:pPr/></w:p></w:tc></w:tr><w:tr><w:trPr/><w:tc><w:tcPr><w:tcW w:w="5000" w:type="pct"/><w:vAlign w:val="top"/><w:noWrap/></w:tcPr><w:p><w:pPr/><w:r><w:rPr><w:rFonts w:ascii="Times New Roman" w:hAnsi="Times New Roman" w:eastAsia="Times New Roman" w:cs="Times New Roman"/><w:sz w:val="20"/><w:szCs w:val="20"/></w:rPr><w:t xml:space="preserve">Dated: November 9, 2021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b w:val="1"/><w:bCs w:val="1"/><w:spacing w:val="0"/></w:rPr><w:t xml:space="preserve">Organogenesis Holdings Inc.</w:t></w:r></w:p></w:tc></w:tr><w:tr><w:trPr/><w:tc><w:tcPr><w:tcW w:w="5000" w:type="pct"/><w:noWrap/></w:tcPr><w:p><w:pPr/></w:p></w:tc><w:tc><w:tcPr><w:tcW w:w="5000" w:type="pct"/><w:gridSpan w:val="2"/><w:noWrap/></w:tcPr><w:p><w:pPr/></w:p></w:tc><w:tc><w:tcPr><w:tcW w:w="5000" w:type="pct"/><w:gridSpan w:val="2"/><w:noWrap/></w:tcPr><w:p><w:pPr/></w:p></w:tc><w:tc><w:tcPr><w:tcW w:w="5000" w:type="pct"/><w:gridSpan w:val="2"/><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quot;Times New Roman&quot;" w:hAnsi="&quot;Times New Roman&quot;" w:eastAsia="&quot;Times New Roman&quot;" w:cs="&quot;Times New Roman&quot;"/><w:sz w:val="20"/><w:szCs w:val="20"/><w:spacing w:val="0"/></w:rPr><w:t xml:space="preserve">(Registrant)</w:t></w:r><w:r><w:rPr><w:rFonts w:ascii="Times New Roman" w:hAnsi="Times New Roman" w:eastAsia="Times New Roman" w:cs="Times New Roman"/><w:sz w:val="20"/><w:szCs w:val="20"/><w:spacing w:val="0"/></w:rPr><w:t xml:space="preserve"> </w:t></w:r></w:p></w:tc></w:tr><w:tr><w:trPr/><w:tc><w:tcPr><w:tcW w:w="5000" w:type="pct"/><w:noWrap/></w:tcPr><w:p><w:pPr/></w:p></w:tc><w:tc><w:tcPr><w:tcW w:w="5000" w:type="pct"/><w:gridSpan w:val="2"/><w:noWrap/></w:tcPr><w:p><w:pPr/></w:p></w:tc><w:tc><w:tcPr><w:tcW w:w="5000" w:type="pct"/><w:gridSpan w:val="2"/><w:noWrap/></w:tcPr><w:p><w:pPr/></w:p></w:tc><w:tc><w:tcPr><w:tcW w:w="5000" w:type="pct"/><w:gridSpan w:val="2"/><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quot;Times New Roman&quot;" w:hAnsi="&quot;Times New Roman&quot;" w:eastAsia="&quot;Times New Roman&quot;" w:cs="&quot;Times New Roman&quot;"/><w:sz w:val="20"/><w:szCs w:val="20"/><w:spacing w:val="0"/></w:rPr><w:t xml:space="preserve">/s/ David Francisco</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David Francisco</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Chief Financial Officer</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(Principal Financial and Accounting Officer)</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43 </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 TargetMode="External"/><Relationship Id="rId8" Type="http://schemas.openxmlformats.org/officeDocument/2006/relationships/hyperlink" Target="tx211807_1" TargetMode="External"/><Relationship Id="rId9" Type="http://schemas.openxmlformats.org/officeDocument/2006/relationships/hyperlink" Target="tx211807_2" TargetMode="External"/><Relationship Id="rId10" Type="http://schemas.openxmlformats.org/officeDocument/2006/relationships/hyperlink" Target="tx211807_3" TargetMode="External"/><Relationship Id="rId11" Type="http://schemas.openxmlformats.org/officeDocument/2006/relationships/hyperlink" Target="tx211807_4" TargetMode="External"/><Relationship Id="rId12" Type="http://schemas.openxmlformats.org/officeDocument/2006/relationships/hyperlink" Target="tx211807_5" TargetMode="External"/><Relationship Id="rId13" Type="http://schemas.openxmlformats.org/officeDocument/2006/relationships/hyperlink" Target="tx211807_6" TargetMode="External"/><Relationship Id="rId14" Type="http://schemas.openxmlformats.org/officeDocument/2006/relationships/hyperlink" Target="tx211807_7" TargetMode="External"/><Relationship Id="rId15" Type="http://schemas.openxmlformats.org/officeDocument/2006/relationships/hyperlink" Target="tx211807_8" TargetMode="External"/><Relationship Id="rId16" Type="http://schemas.openxmlformats.org/officeDocument/2006/relationships/hyperlink" Target="tx211807_9" TargetMode="External"/><Relationship Id="rId17" Type="http://schemas.openxmlformats.org/officeDocument/2006/relationships/hyperlink" Target="tx211807_10" TargetMode="External"/><Relationship Id="rId18" Type="http://schemas.openxmlformats.org/officeDocument/2006/relationships/hyperlink" Target="tx211807_11" TargetMode="External"/><Relationship Id="rId19" Type="http://schemas.openxmlformats.org/officeDocument/2006/relationships/hyperlink" Target="tx211807_12" TargetMode="External"/><Relationship Id="rId20" Type="http://schemas.openxmlformats.org/officeDocument/2006/relationships/hyperlink" Target="tx211807_13" TargetMode="External"/><Relationship Id="rId21" Type="http://schemas.openxmlformats.org/officeDocument/2006/relationships/hyperlink" Target="tx211807_14" TargetMode="External"/><Relationship Id="rId22" Type="http://schemas.openxmlformats.org/officeDocument/2006/relationships/hyperlink" Target="tx211807_15" TargetMode="External"/><Relationship Id="rId23" Type="http://schemas.openxmlformats.org/officeDocument/2006/relationships/hyperlink" Target="tx211807_16" TargetMode="External"/><Relationship Id="rId24" Type="http://schemas.openxmlformats.org/officeDocument/2006/relationships/hyperlink" Target="tx211807_17" TargetMode="External"/><Relationship Id="rId25" Type="http://schemas.openxmlformats.org/officeDocument/2006/relationships/hyperlink" Target="tx211807_18" TargetMode="External"/><Relationship Id="rId26" Type="http://schemas.openxmlformats.org/officeDocument/2006/relationships/hyperlink" Target="tx211807_19" TargetMode="External"/><Relationship Id="rId27" Type="http://schemas.openxmlformats.org/officeDocument/2006/relationships/hyperlink" Target="http://www.sec.gov/Archives/edgar/data/1661181/000119312519245823/d772464dex31.htm" TargetMode="External"/><Relationship Id="rId28" Type="http://schemas.openxmlformats.org/officeDocument/2006/relationships/hyperlink" Target="http://www.sec.gov/Archives/edgar/data/1661181/000119312519245823/d772464dex32.htm" TargetMode="External"/><Relationship Id="rId29" Type="http://schemas.openxmlformats.org/officeDocument/2006/relationships/hyperlink" Target="http://www.sec.gov/Archives/edgar/data/0001661181/000119312521240438/d184440dex101.htm" TargetMode="External"/><Relationship Id="rId30" Type="http://schemas.openxmlformats.org/officeDocument/2006/relationships/hyperlink" Target="http://www.sec.gov/Archives/edgar/data/0001661181/000119312521247828/d147543dex101.htm" TargetMode="External"/><Relationship Id="rId31" Type="http://schemas.openxmlformats.org/officeDocument/2006/relationships/hyperlink" Target="d211807dex311.htm" TargetMode="External"/><Relationship Id="rId32" Type="http://schemas.openxmlformats.org/officeDocument/2006/relationships/hyperlink" Target="d211807dex312.htm" TargetMode="External"/><Relationship Id="rId33" Type="http://schemas.openxmlformats.org/officeDocument/2006/relationships/hyperlink" Target="d211807dex32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2026-08-07T07:24:21-04:00</dcterms:created>
  <dcterms:modified xsi:type="dcterms:W3CDTF">2026-08-07T07:24:21-04:00</dcterms:modified>
</cp:coreProperties>
</file>

<file path=docProps/custom.xml><?xml version="1.0" encoding="utf-8"?>
<Properties xmlns="http://schemas.openxmlformats.org/officeDocument/2006/custom-properties" xmlns:vt="http://schemas.openxmlformats.org/officeDocument/2006/docPropsVTypes"/>
</file>