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10-Q/A</w:t>
      </w:r>
    </w:p>
    <w:p>
      <w:pPr/>
      <w:r>
        <w:rPr/>
        <w:t xml:space="preserve">1</w:t>
      </w:r>
    </w:p>
    <w:p>
      <w:pPr/>
      <w:r>
        <w:rPr/>
        <w:t xml:space="preserve">f10-qa.htm</w:t>
      </w:r>
    </w:p>
    <w:p>
      <w:pPr/>
      <w:r>
        <w:rPr/>
        <w:t xml:space="preserve">10-Q/A</w:t>
      </w:r>
    </w:p>
    <w:p>
      <w:pPr/>
      <w:r>
        <w:rPr/>
        <w:t xml:space="preserve">			ahpau_Current_Folio_10QA-Q1		</w:t>
      </w:r>
    </w:p>
    <w:p>
      <w:pPr>
        <w:jc w:val="center"/>
        <w:spacing w:before="0" w:after="0"/>
      </w:pPr>
      <w:r>
        <w:rPr>
          <w:rFonts w:ascii="Times New Roman" w:hAnsi="Times New Roman" w:eastAsia="Times New Roman" w:cs="Times New Roman"/>
          <w:color w:val="000000"/>
          <w:sz w:val="2"/>
          <w:szCs w:val="2"/>
        </w:rPr>
        <w:t xml:space="preserve"> </w:t>
      </w:r>
    </w:p>
    <w:p>
      <w:pPr>
        <w:jc w:val="cente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8"/>
          <w:szCs w:val="28"/>
          <w:b w:val="1"/>
          <w:bCs w:val="1"/>
        </w:rPr>
        <w:t xml:space="preserve">UNITED STATES</w:t>
      </w:r>
    </w:p>
    <w:p>
      <w:pPr>
        <w:jc w:val="center"/>
        <w:spacing w:before="0" w:after="0"/>
      </w:pPr>
      <w:r>
        <w:rPr>
          <w:rFonts w:ascii="Times New Roman" w:hAnsi="Times New Roman" w:eastAsia="Times New Roman" w:cs="Times New Roman"/>
          <w:color w:val="000000"/>
          <w:sz w:val="28"/>
          <w:szCs w:val="28"/>
          <w:b w:val="1"/>
          <w:bCs w:val="1"/>
        </w:rPr>
        <w:t xml:space="preserve">SECURITIES AND EXCHANGE COMMISSION</w:t>
      </w:r>
    </w:p>
    <w:p>
      <w:pPr>
        <w:jc w:val="center"/>
        <w:spacing w:before="0" w:after="0"/>
      </w:pPr>
      <w:r>
        <w:rPr>
          <w:rFonts w:ascii="Times New Roman" w:hAnsi="Times New Roman" w:eastAsia="Times New Roman" w:cs="Times New Roman"/>
          <w:color w:val="000000"/>
          <w:sz w:val="20"/>
          <w:szCs w:val="20"/>
          <w:b w:val="1"/>
          <w:bCs w:val="1"/>
        </w:rPr>
        <w:t xml:space="preserve">WASHINGTON, DC 20549</w:t>
      </w:r>
    </w:p>
    <w:p>
      <w:pPr>
        <w:spacing w:before="0" w:after="0"/>
      </w:pPr>
      <w:r>
        <w:rPr>
          <w:rFonts w:ascii="Times New Roman" w:hAnsi="Times New Roman" w:eastAsia="Times New Roman" w:cs="Times New Roman"/>
          <w:sz w:val="12"/>
          <w:szCs w:val="12"/>
        </w:rPr>
        <w:t xml:space="preserve"> </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center"/>
        <w:spacing w:before="0" w:after="0"/>
      </w:pPr>
      <w:r>
        <w:rPr>
          <w:rFonts w:ascii="Times New Roman" w:hAnsi="Times New Roman" w:eastAsia="Times New Roman" w:cs="Times New Roman"/>
          <w:color w:val="000000"/>
          <w:sz w:val="28"/>
          <w:szCs w:val="28"/>
          <w:b w:val="1"/>
          <w:bCs w:val="1"/>
        </w:rPr>
        <w:t xml:space="preserve">FORM 10-Q/A</w:t>
      </w:r>
    </w:p>
    <w:p>
      <w:pPr>
        <w:jc w:val="center"/>
        <w:spacing w:before="0" w:after="0"/>
      </w:pPr>
      <w:r>
        <w:rPr>
          <w:rFonts w:ascii="Times New Roman" w:hAnsi="Times New Roman" w:eastAsia="Times New Roman" w:cs="Times New Roman"/>
          <w:color w:val="000000"/>
          <w:sz w:val="24"/>
          <w:szCs w:val="24"/>
          <w:b w:val="1"/>
          <w:bCs w:val="1"/>
        </w:rPr>
        <w:t xml:space="preserve">(Amendment No. 1)</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spacing w:before="0" w:after="0"/>
      </w:pPr>
      <w:r>
        <w:rPr>
          <w:rFonts w:ascii="Times New Roman" w:hAnsi="Times New Roman" w:eastAsia="Times New Roman" w:cs="Times New Roman"/>
          <w:sz w:val="12"/>
          <w:szCs w:val="12"/>
        </w:rPr>
        <w:t xml:space="preserve"> </w:t>
      </w:r>
    </w:p>
    <w:p>
      <w:pPr>
        <w:spacing w:before="0" w:after="0"/>
      </w:pPr>
      <w:r>
        <w:rPr>
          <w:rFonts w:ascii="Times New Roman" w:hAnsi="Times New Roman" w:eastAsia="Times New Roman" w:cs="Times New Roman"/>
          <w:color w:val="000000"/>
          <w:sz w:val="20"/>
          <w:szCs w:val="20"/>
          <w:b w:val="1"/>
          <w:bCs w:val="1"/>
        </w:rPr>
        <w:t xml:space="preserve">(Mark One)</w:t>
      </w:r>
    </w:p>
    <w:p>
      <w:pPr>
        <w:spacing w:before="0" w:after="0"/>
      </w:pPr>
      <w:r>
        <w:rPr>
          <w:rFonts w:ascii="Arial" w:hAnsi="Arial" w:eastAsia="Arial" w:cs="Arial"/>
          <w:sz w:val="12"/>
          <w:szCs w:val="12"/>
        </w:rPr>
        <w:t xml:space="preserve"> </w:t>
      </w:r>
    </w:p>
    <w:tbl>
      <w:tblGrid>
        <w:gridCol w:w="0" w:type="dxa"/>
        <w:gridCol w:w="0" w:type="dxa"/>
      </w:tblGrid>
      <w:tblPr>
        <w:jc w:val="center"/>
        <w:tblW w:w="0" w:type="pct"/>
        <w:tblCellSpacing w:w="0" w:type="dxa"/>
        <w:tblLayout w:type="autofit"/>
      </w:tblPr>
      <w:tr>
        <w:trPr/>
        <w:tc>
          <w:tcPr>
            <w:tcW w:w="0" w:type="pct"/>
            <w:vAlign w:val="top"/>
            <w:noWrap/>
          </w:tcPr>
          <w:p>
            <w:pPr>
              <w:jc w:val="center"/>
              <w:spacing w:before="0" w:after="0"/>
            </w:pPr>
            <w:r>
              <w:rPr>
                <w:rFonts w:ascii="Segoe UI Symbol" w:hAnsi="Segoe UI Symbol" w:eastAsia="Segoe UI Symbol" w:cs="Segoe UI Symbol"/>
                <w:color w:val="000000"/>
                <w:sz w:val="22"/>
                <w:szCs w:val="22"/>
                <w:b w:val="1"/>
                <w:bCs w:val="1"/>
              </w:rPr>
              <w:t xml:space="preserve">☒</w:t>
            </w:r>
          </w:p>
        </w:tc>
        <w:tc>
          <w:tcPr>
            <w:tcW w:w="0" w:type="pct"/>
            <w:vAlign w:val="top"/>
            <w:noWrap/>
          </w:tcPr>
          <w:p>
            <w:pPr>
              <w:jc w:val="center"/>
              <w:spacing w:before="0" w:after="0"/>
            </w:pPr>
            <w:r>
              <w:rPr>
                <w:rFonts w:ascii="Times New Roman" w:hAnsi="Times New Roman" w:eastAsia="Times New Roman" w:cs="Times New Roman"/>
                <w:color w:val="000000"/>
                <w:sz w:val="22"/>
                <w:szCs w:val="22"/>
                <w:b w:val="1"/>
                <w:bCs w:val="1"/>
              </w:rPr>
              <w:t xml:space="preserve">QUARTERLY REPORT PURSUANT TO SECTION 13 OR 15(d) OF THE SECURITIES EXCHANGE ACT OF 1934</w:t>
            </w:r>
          </w:p>
        </w:tc>
      </w:tr>
    </w:tbl>
    <w:p>
      <w:pPr>
        <w:spacing w:before="0" w:after="0"/>
      </w:pPr>
      <w:r>
        <w:rPr>
          <w:rFonts w:ascii="Arial" w:hAnsi="Arial" w:eastAsia="Arial" w:cs="Arial"/>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For the quarterly period ended March 31, 2018</w:t>
      </w:r>
    </w:p>
    <w:p>
      <w:pPr>
        <w:jc w:val="cente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OR</w:t>
      </w:r>
    </w:p>
    <w:p>
      <w:pPr>
        <w:jc w:val="center"/>
        <w:spacing w:before="0" w:after="0"/>
      </w:pPr>
      <w:r>
        <w:rPr>
          <w:rFonts w:ascii="Times New Roman" w:hAnsi="Times New Roman" w:eastAsia="Times New Roman" w:cs="Times New Roman"/>
          <w:color w:val="000000"/>
          <w:sz w:val="12"/>
          <w:szCs w:val="12"/>
        </w:rPr>
        <w:t xml:space="preserve"> </w:t>
      </w:r>
    </w:p>
    <w:tbl>
      <w:tblGrid>
        <w:gridCol w:w="200" w:type="dxa"/>
        <w:gridCol w:w="4800" w:type="dxa"/>
      </w:tblGrid>
      <w:tblPr>
        <w:jc w:val="center"/>
        <w:tblW w:w="0" w:type="pct"/>
        <w:tblCellSpacing w:w="0" w:type="dxa"/>
        <w:tblLayout w:type="autofit"/>
      </w:tblPr>
      <w:tr>
        <w:trPr/>
        <w:tc>
          <w:tcPr>
            <w:tcW w:w="200" w:type="pct"/>
            <w:vAlign w:val="top"/>
            <w:noWrap/>
          </w:tcPr>
          <w:p>
            <w:pPr>
              <w:jc w:val="center"/>
              <w:spacing w:before="0" w:after="0"/>
            </w:pPr>
            <w:r>
              <w:rPr>
                <w:rFonts w:ascii="Segoe UI Symbol" w:hAnsi="Segoe UI Symbol" w:eastAsia="Segoe UI Symbol" w:cs="Segoe UI Symbol"/>
                <w:color w:val="000000"/>
                <w:sz w:val="22"/>
                <w:szCs w:val="22"/>
                <w:b w:val="1"/>
                <w:bCs w:val="1"/>
              </w:rPr>
              <w:t xml:space="preserve">☐</w:t>
            </w:r>
          </w:p>
        </w:tc>
        <w:tc>
          <w:tcPr>
            <w:tcW w:w="4800" w:type="pct"/>
            <w:vAlign w:val="top"/>
            <w:noWrap/>
          </w:tcPr>
          <w:p>
            <w:pPr>
              <w:jc w:val="center"/>
              <w:spacing w:before="0" w:after="0"/>
            </w:pPr>
            <w:r>
              <w:rPr>
                <w:rFonts w:ascii="Times New Roman" w:hAnsi="Times New Roman" w:eastAsia="Times New Roman" w:cs="Times New Roman"/>
                <w:color w:val="000000"/>
                <w:sz w:val="22"/>
                <w:szCs w:val="22"/>
                <w:b w:val="1"/>
                <w:bCs w:val="1"/>
              </w:rPr>
              <w:t xml:space="preserve">TRANSITION REPORT PURSUANT TO SECTION 13 OR 15(d) OF THE SECURITIES EXCHANGE ACT OF 1934</w:t>
            </w:r>
          </w:p>
        </w:tc>
      </w:tr>
    </w:tbl>
    <w:p>
      <w:pP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For the transition period from ___________ to ___________</w:t>
      </w:r>
    </w:p>
    <w:p>
      <w:pPr>
        <w:jc w:val="cente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Commission File Number: 001-37906</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center"/>
        <w:spacing w:before="0" w:after="0"/>
      </w:pPr>
      <w:r>
        <w:rPr>
          <w:rFonts w:ascii="Times New Roman" w:hAnsi="Times New Roman" w:eastAsia="Times New Roman" w:cs="Times New Roman"/>
          <w:color w:val="000000"/>
          <w:sz w:val="36"/>
          <w:szCs w:val="36"/>
          <w:b w:val="1"/>
          <w:bCs w:val="1"/>
        </w:rPr>
        <w:t xml:space="preserve">AVISTA HEALTHCARE PUBLIC ACQUISITION CORP.</w:t>
      </w:r>
    </w:p>
    <w:p>
      <w:pPr>
        <w:jc w:val="center"/>
        <w:spacing w:before="0" w:after="0"/>
      </w:pPr>
      <w:r>
        <w:rPr>
          <w:rFonts w:ascii="Times New Roman" w:hAnsi="Times New Roman" w:eastAsia="Times New Roman" w:cs="Times New Roman"/>
          <w:sz w:val="20"/>
          <w:szCs w:val="20"/>
        </w:rPr>
        <w:t xml:space="preserve">(Exact Name of Registrant as Specified in its Charter)</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spacing w:before="0" w:after="0"/>
      </w:pPr>
      <w:r>
        <w:rPr>
          <w:rFonts w:ascii="Times New Roman" w:hAnsi="Times New Roman" w:eastAsia="Times New Roman" w:cs="Times New Roman"/>
          <w:color w:val="000000"/>
          <w:sz w:val="12"/>
          <w:szCs w:val="12"/>
        </w:rPr>
        <w:t xml:space="preserve"> </w:t>
      </w:r>
    </w:p>
    <w:tbl>
      <w:tblGrid>
        <w:gridCol w:w="0" w:type="dxa"/>
        <w:gridCol w:w="0" w:type="dxa"/>
      </w:tblGrid>
      <w:tblPr>
        <w:jc w:val="center"/>
        <w:tblW w:w="0" w:type="pct"/>
        <w:tblCellSpacing w:w="0" w:type="dxa"/>
        <w:tblLayout w:type="autofit"/>
      </w:tblPr>
      <w:tr>
        <w:trPr/>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Cayman Islands</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(State or other jurisdiction of</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(I.R.S. Employer</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incorporation or organization)</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Identification No.)</w:t>
            </w:r>
          </w:p>
        </w:tc>
      </w:tr>
      <w:tr>
        <w:trPr/>
        <w:tc>
          <w:tcPr>
            <w:tcW w:w="0" w:type="pct"/>
            <w:vAlign w:val="bottom"/>
            <w:noWrap/>
          </w:tcPr>
          <w:p>
            <w:pPr>
              <w:jc w:val="center"/>
              <w:spacing w:before="0" w:after="0"/>
            </w:pPr>
            <w:r>
              <w:rPr>
                <w:rFonts w:ascii="Times New Roman" w:hAnsi="Times New Roman" w:eastAsia="Times New Roman" w:cs="Times New Roman"/>
                <w:sz w:val="10"/>
                <w:szCs w:val="10"/>
              </w:rPr>
              <w:t xml:space="preserve"> </w:t>
            </w:r>
          </w:p>
        </w:tc>
        <w:tc>
          <w:tcPr>
            <w:tcW w:w="0" w:type="pct"/>
            <w:vAlign w:val="bottom"/>
            <w:noWrap/>
          </w:tcPr>
          <w:p>
            <w:pPr>
              <w:jc w:val="center"/>
              <w:spacing w:before="0" w:after="0"/>
            </w:pPr>
            <w:r>
              <w:rPr>
                <w:rFonts w:ascii="Times New Roman" w:hAnsi="Times New Roman" w:eastAsia="Times New Roman" w:cs="Times New Roman"/>
                <w:sz w:val="10"/>
                <w:szCs w:val="10"/>
              </w:rPr>
              <w:t xml:space="preserve"> </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65 East 55th Street, 18th Floor</w:t>
            </w:r>
            <w:br/>
            <w:r>
              <w:rPr>
                <w:rFonts w:ascii="Times New Roman" w:hAnsi="Times New Roman" w:eastAsia="Times New Roman" w:cs="Times New Roman"/>
                <w:color w:val="000000"/>
                <w:sz w:val="20"/>
                <w:szCs w:val="20"/>
                <w:b w:val="1"/>
                <w:bCs w:val="1"/>
              </w:rPr>
              <w:t xml:space="preserve">New York, New York</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10022</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(Address of principal executive offices)</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(Zip Code)</w:t>
            </w:r>
          </w:p>
        </w:tc>
      </w:tr>
    </w:tbl>
    <w:p>
      <w:pPr>
        <w:spacing w:before="0" w:after="0"/>
      </w:pPr>
      <w:r>
        <w:rPr>
          <w:rFonts w:ascii="Times New Roman" w:hAnsi="Times New Roman" w:eastAsia="Times New Roman" w:cs="Times New Roman"/>
          <w:sz w:val="10"/>
          <w:szCs w:val="10"/>
        </w:rPr>
        <w:t xml:space="preserve"> </w:t>
      </w:r>
    </w:p>
    <w:p>
      <w:pPr>
        <w:jc w:val="center"/>
        <w:spacing w:before="0" w:after="0"/>
      </w:pPr>
      <w:r>
        <w:rPr>
          <w:rFonts w:ascii="Times New Roman" w:hAnsi="Times New Roman" w:eastAsia="Times New Roman" w:cs="Times New Roman"/>
          <w:color w:val="000000"/>
          <w:sz w:val="20"/>
          <w:szCs w:val="20"/>
        </w:rPr>
        <w:t xml:space="preserve">Registrant</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s telephone number, including area code:</w:t>
      </w:r>
      <w:r>
        <w:rPr>
          <w:rFonts w:ascii="Times New Roman" w:hAnsi="Times New Roman" w:eastAsia="Times New Roman" w:cs="Times New Roman"/>
          <w:color w:val="000000"/>
          <w:sz w:val="20"/>
          <w:szCs w:val="20"/>
          <w:b w:val="1"/>
          <w:bCs w:val="1"/>
        </w:rPr>
        <w:t xml:space="preserve"> (212) 593-6900</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both"/>
        <w:spacing w:before="0" w:after="0"/>
      </w:pPr>
      <w:r>
        <w:rPr>
          <w:rFonts w:ascii="Times New Roman" w:hAnsi="Times New Roman" w:eastAsia="Times New Roman" w:cs="Times New Roman"/>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Arial" w:hAnsi="Arial" w:eastAsia="Arial" w:cs="Aria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has submitted electronically and posted on its corporate Web site, if any, every Interactive Data File required to be submitted and posted pursuant to Rule 405 of Regulation S-T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232.405 of this chapter) during the preceding 12 months (or for such shorter period that the registrant was required to submit and post such files).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Arial" w:hAnsi="Arial" w:eastAsia="Arial" w:cs="Aria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sz w:val="20"/>
          <w:szCs w:val="20"/>
        </w:rPr>
        <w:t xml:space="preserve">Indicate by check mark whether the registrant is a large accelerated filer, an accelerated filer, a non-accelerated filer, smaller reporting company, or an emerging growth company. See the definitions of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large accelerated filer,</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sz w:val="20"/>
          <w:szCs w:val="20"/>
        </w:rPr>
        <w:t xml:space="preserve">accelerated filer,</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sz w:val="20"/>
          <w:szCs w:val="20"/>
        </w:rPr>
        <w:t xml:space="preserve">smaller reporting 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and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emerging growth 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in Rule 12b-2 of the Exchange Act. (Check one):</w:t>
      </w:r>
    </w:p>
    <w:p>
      <w:pPr>
        <w:spacing w:before="0" w:after="0"/>
      </w:pPr>
      <w:r>
        <w:rPr>
          <w:rFonts w:ascii="Times New Roman" w:hAnsi="Times New Roman" w:eastAsia="Times New Roman" w:cs="Times New Roman"/>
          <w:sz w:val="12"/>
          <w:szCs w:val="12"/>
        </w:rPr>
        <w:t xml:space="preserve"> </w:t>
      </w:r>
    </w:p>
    <w:tbl>
      <w:tblGrid>
        <w:gridCol w:w="1100" w:type="dxa"/>
        <w:gridCol w:w="1300" w:type="dxa"/>
        <w:gridCol w:w="1000" w:type="dxa"/>
        <w:gridCol w:w="1500" w:type="dxa"/>
      </w:tblGrid>
      <w:tblPr>
        <w:tblW w:w="0" w:type="pct"/>
        <w:tblCellSpacing w:w="0" w:type="dxa"/>
        <w:tblLayout w:type="autofit"/>
      </w:tblPr>
      <w:tr>
        <w:trPr/>
        <w:tc>
          <w:tcPr>
            <w:tcW w:w="1100" w:type="pct"/>
            <w:vAlign w:val="top"/>
            <w:noWrap/>
          </w:tcPr>
          <w:p>
            <w:pPr>
              <w:spacing w:before="0" w:after="0"/>
            </w:pPr>
            <w:r>
              <w:rPr>
                <w:rFonts w:ascii="Times New Roman" w:hAnsi="Times New Roman" w:eastAsia="Times New Roman" w:cs="Times New Roman"/>
                <w:color w:val="000000"/>
                <w:sz w:val="20"/>
                <w:szCs w:val="20"/>
              </w:rPr>
              <w:t xml:space="preserve">Large accelerated filer</w:t>
            </w:r>
          </w:p>
        </w:tc>
        <w:tc>
          <w:tcPr>
            <w:tcW w:w="1300" w:type="pct"/>
            <w:vAlign w:val="top"/>
            <w:noWrap/>
          </w:tcPr>
          <w:p>
            <w:pPr>
              <w:spacing w:before="0" w:after="0"/>
            </w:pPr>
            <w:r>
              <w:rPr>
                <w:rFonts w:ascii="Segoe UI Symbol" w:hAnsi="Segoe UI Symbol" w:eastAsia="Segoe UI Symbol" w:cs="Segoe UI Symbol"/>
                <w:color w:val="000000"/>
                <w:sz w:val="20"/>
                <w:szCs w:val="20"/>
              </w:rPr>
              <w:t xml:space="preserve">☐</w:t>
            </w:r>
          </w:p>
        </w:tc>
        <w:tc>
          <w:tcPr>
            <w:tcW w:w="1000" w:type="pct"/>
            <w:vAlign w:val="top"/>
            <w:noWrap/>
          </w:tcPr>
          <w:p>
            <w:pPr>
              <w:spacing w:before="0" w:after="0"/>
            </w:pPr>
            <w:r>
              <w:rPr>
                <w:rFonts w:ascii="Times New Roman" w:hAnsi="Times New Roman" w:eastAsia="Times New Roman" w:cs="Times New Roman"/>
                <w:color w:val="000000"/>
                <w:sz w:val="20"/>
                <w:szCs w:val="20"/>
              </w:rPr>
              <w:t xml:space="preserve">Accelerated filer</w:t>
            </w:r>
          </w:p>
        </w:tc>
        <w:tc>
          <w:tcPr>
            <w:tcW w:w="1500" w:type="pct"/>
            <w:vAlign w:val="top"/>
            <w:noWrap/>
          </w:tcPr>
          <w:p>
            <w:pPr>
              <w:spacing w:before="0" w:after="0"/>
            </w:pPr>
            <w:r>
              <w:rPr>
                <w:rFonts w:ascii="Segoe UI Symbol" w:hAnsi="Segoe UI Symbol" w:eastAsia="Segoe UI Symbol" w:cs="Segoe UI Symbol"/>
                <w:color w:val="000000"/>
                <w:sz w:val="20"/>
                <w:szCs w:val="20"/>
              </w:rPr>
              <w:t xml:space="preserve">☒</w:t>
            </w:r>
          </w:p>
        </w:tc>
      </w:tr>
      <w:tr>
        <w:trPr/>
        <w:tc>
          <w:tcPr>
            <w:tcW w:w="1100" w:type="pct"/>
            <w:vAlign w:val="top"/>
            <w:noWrap/>
          </w:tcPr>
          <w:p>
            <w:pPr>
              <w:spacing w:before="0" w:after="0"/>
            </w:pPr>
            <w:r>
              <w:rPr>
                <w:rFonts w:ascii="Times New Roman" w:hAnsi="Times New Roman" w:eastAsia="Times New Roman" w:cs="Times New Roman"/>
                <w:color w:val="000000"/>
                <w:sz w:val="20"/>
                <w:szCs w:val="20"/>
              </w:rPr>
              <w:t xml:space="preserve">Non-accelerated filer</w:t>
            </w:r>
          </w:p>
        </w:tc>
        <w:tc>
          <w:tcPr>
            <w:tcW w:w="1300" w:type="pct"/>
            <w:vAlign w:val="top"/>
            <w:noWrap/>
          </w:tcPr>
          <w:p>
            <w:pPr>
              <w:spacing w:before="0" w:after="0"/>
            </w:pP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(Do not check if a smaller reporting company)</w:t>
            </w:r>
          </w:p>
        </w:tc>
        <w:tc>
          <w:tcPr>
            <w:tcW w:w="1000" w:type="pct"/>
            <w:vAlign w:val="top"/>
            <w:noWrap/>
          </w:tcPr>
          <w:p>
            <w:pPr>
              <w:spacing w:before="0" w:after="0"/>
            </w:pPr>
            <w:r>
              <w:rPr>
                <w:rFonts w:ascii="Times New Roman" w:hAnsi="Times New Roman" w:eastAsia="Times New Roman" w:cs="Times New Roman"/>
                <w:color w:val="000000"/>
                <w:sz w:val="20"/>
                <w:szCs w:val="20"/>
              </w:rPr>
              <w:t xml:space="preserve">Smaller reporting company</w:t>
            </w:r>
          </w:p>
        </w:tc>
        <w:tc>
          <w:tcPr>
            <w:tcW w:w="1500" w:type="pct"/>
            <w:vAlign w:val="top"/>
            <w:noWrap/>
          </w:tcPr>
          <w:p>
            <w:pPr>
              <w:spacing w:before="0" w:after="0"/>
            </w:pPr>
            <w:r>
              <w:rPr>
                <w:rFonts w:ascii="Segoe UI Symbol" w:hAnsi="Segoe UI Symbol" w:eastAsia="Segoe UI Symbol" w:cs="Segoe UI Symbol"/>
                <w:color w:val="000000"/>
                <w:sz w:val="20"/>
                <w:szCs w:val="20"/>
              </w:rPr>
              <w:t xml:space="preserve">☐</w:t>
            </w:r>
          </w:p>
        </w:tc>
      </w:tr>
      <w:tr>
        <w:trPr/>
        <w:tc>
          <w:tcPr>
            <w:tcW w:w="1100" w:type="pct"/>
            <w:vAlign w:val="top"/>
            <w:noWrap/>
          </w:tcPr>
          <w:p>
            <w:pPr>
              <w:spacing w:before="0" w:after="0"/>
            </w:pPr>
            <w:r>
              <w:rPr>
                <w:rFonts w:ascii="Times New Roman" w:hAnsi="Times New Roman" w:eastAsia="Times New Roman" w:cs="Times New Roman"/>
                <w:color w:val="000000"/>
                <w:sz w:val="24"/>
                <w:szCs w:val="24"/>
              </w:rPr>
              <w:t xml:space="preserve"> </w:t>
            </w:r>
          </w:p>
        </w:tc>
        <w:tc>
          <w:tcPr>
            <w:tcW w:w="1300" w:type="pct"/>
            <w:vAlign w:val="top"/>
            <w:noWrap/>
          </w:tcPr>
          <w:p>
            <w:pPr>
              <w:spacing w:before="0" w:after="0"/>
            </w:pPr>
            <w:r>
              <w:rPr>
                <w:rFonts w:ascii="Times New Roman" w:hAnsi="Times New Roman" w:eastAsia="Times New Roman" w:cs="Times New Roman"/>
                <w:color w:val="000000"/>
                <w:sz w:val="24"/>
                <w:szCs w:val="24"/>
              </w:rPr>
              <w:t xml:space="preserve"> </w:t>
            </w:r>
          </w:p>
        </w:tc>
        <w:tc>
          <w:tcPr>
            <w:tcW w:w="1000" w:type="pct"/>
            <w:vAlign w:val="top"/>
            <w:noWrap/>
          </w:tcPr>
          <w:p>
            <w:pPr>
              <w:spacing w:before="0" w:after="0"/>
            </w:pPr>
            <w:r>
              <w:rPr>
                <w:rFonts w:ascii="Times New Roman" w:hAnsi="Times New Roman" w:eastAsia="Times New Roman" w:cs="Times New Roman"/>
                <w:color w:val="000000"/>
                <w:sz w:val="20"/>
                <w:szCs w:val="20"/>
              </w:rPr>
              <w:t xml:space="preserve">Emerging growth company</w:t>
            </w:r>
          </w:p>
        </w:tc>
        <w:tc>
          <w:tcPr>
            <w:tcW w:w="1500" w:type="pct"/>
            <w:vAlign w:val="top"/>
            <w:noWrap/>
          </w:tcPr>
          <w:p>
            <w:pPr>
              <w:spacing w:before="0" w:after="0"/>
            </w:pPr>
            <w:r>
              <w:rPr>
                <w:rFonts w:ascii="Segoe UI Symbol" w:hAnsi="Segoe UI Symbol" w:eastAsia="Segoe UI Symbol" w:cs="Segoe UI Symbol"/>
                <w:color w:val="000000"/>
                <w:sz w:val="20"/>
                <w:szCs w:val="20"/>
              </w:rPr>
              <w:t xml:space="preserve">☒</w:t>
            </w:r>
          </w:p>
        </w:tc>
      </w:tr>
    </w:tbl>
    <w:p>
      <w:pPr>
        <w:spacing w:before="0" w:after="0"/>
      </w:pPr>
      <w:r>
        <w:rPr>
          <w:rFonts w:ascii="Times New Roman" w:hAnsi="Times New Roman" w:eastAsia="Times New Roman" w:cs="Times New Roman"/>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Segoe UI Symbol" w:hAnsi="Segoe UI Symbol" w:eastAsia="Segoe UI Symbol" w:cs="Segoe UI Symbo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is a shell company (as defined in Rule 12b-2 of the Exchange Act).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Segoe UI Symbol" w:hAnsi="Segoe UI Symbol" w:eastAsia="Segoe UI Symbol" w:cs="Segoe UI Symbo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sz w:val="20"/>
          <w:szCs w:val="20"/>
        </w:rPr>
        <w:t xml:space="preserve">At May 10, 2018, there were 31,000,000 Class A ordinary shares, $0.0001 par value per share and 7,750,000 Class B ordinary shares, $0.0001 par value per share outstanding.</w:t>
      </w:r>
    </w:p>
    <w:p>
      <w:pPr>
        <w:jc w:val="both"/>
        <w:spacing w:before="0" w:after="0"/>
      </w:pPr>
      <w:r>
        <w:rPr>
          <w:rFonts w:ascii="Times New Roman" w:hAnsi="Times New Roman" w:eastAsia="Times New Roman" w:cs="Times New Roman"/>
          <w:color w:val="000000"/>
          <w:sz w:val="12"/>
          <w:szCs w:val="12"/>
        </w:rPr>
        <w:t xml:space="preserve"> </w:t>
      </w:r>
    </w:p>
    <w:p>
      <w:pPr>
        <w:jc w:val="both"/>
        <w:spacing w:before="0" w:after="0"/>
      </w:pPr>
      <w:r>
        <w:rPr>
          <w:rFonts w:ascii="Times New Roman" w:hAnsi="Times New Roman" w:eastAsia="Times New Roman" w:cs="Times New Roman"/>
          <w:color w:val="000000"/>
          <w:sz w:val="2"/>
          <w:szCs w:val="2"/>
        </w:rPr>
        <w:t xml:space="preserve"> </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			 		</w:t>
      </w: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jc w:val="center"/>
        <w:spacing w:before="0" w:after="0"/>
      </w:pPr>
      <w:r>
        <w:rPr>
          <w:rFonts w:ascii="Times New Roman" w:hAnsi="Times New Roman" w:eastAsia="Times New Roman" w:cs="Times New Roman"/>
          <w:color w:val="000000"/>
          <w:sz w:val="20"/>
          <w:szCs w:val="20"/>
          <w:b w:val="1"/>
          <w:bCs w:val="1"/>
        </w:rPr>
        <w:t xml:space="preserve">EXPLANATORY NOTE</w:t>
      </w:r>
    </w:p>
    <w:p>
      <w:pPr>
        <w:jc w:val="both"/>
        <w:ind w:left="0" w:right="0" w:firstLine="720" w:hanging="0"/>
        <w:spacing w:before="0" w:after="0"/>
      </w:pPr>
      <w:r>
        <w:rPr>
          <w:rFonts w:ascii="Times New Roman" w:hAnsi="Times New Roman" w:eastAsia="Times New Roman" w:cs="Times New Roman"/>
          <w:sz w:val="20"/>
          <w:szCs w:val="20"/>
        </w:rPr>
        <w:t xml:space="preserve">Avista Healthcare Public Acquisition Corp. (the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is filing this Amendment No. 1 on Form 10-Q/A to amend its Quarterly Report on Form 10-Q for the quarter ended March 31, 2018, filed with the Securities and Exchange Commission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SEC</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on May 10, 2018 (the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Original Report</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solely to include language inadvertently omitted from the previously filed Exhibits 31.1 and 31.2, and contains new certifications pursuant to Section 302 of the Sarbanes-Oxley Act of 2002, which are attached hereto. This Amendment should be read in conjunction with the Company’s Original Report and other Company filings made with the SEC.</w:t>
      </w:r>
    </w:p>
    <w:p>
      <w:pPr>
        <w:jc w:val="both"/>
        <w:ind w:left="0" w:right="0" w:firstLine="720" w:hanging="0"/>
        <w:spacing w:before="0" w:after="0"/>
      </w:pPr>
      <w:r>
        <w:rPr>
          <w:rFonts w:ascii="Times New Roman" w:hAnsi="Times New Roman" w:eastAsia="Times New Roman" w:cs="Times New Roman"/>
          <w:sz w:val="20"/>
          <w:szCs w:val="20"/>
        </w:rPr>
        <w:t xml:space="preserve">Except as described above, no other changes have been made to the Original Report, and this Form 10-Q/A does not modify, amend or update in any way any of the financial or other information contained in the Original Report. This Form 10-Q/A does not reflect events that may have occurred subsequent to the filing date of the Original Report.</w:t>
      </w:r>
    </w:p>
    <w:p>
      <w:pPr>
        <w:spacing w:before="0" w:after="0"/>
      </w:pP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spacing w:before="0" w:after="0"/>
      </w:pPr>
      <w:r>
        <w:rPr>
          <w:rFonts w:ascii="Times New Roman" w:hAnsi="Times New Roman" w:eastAsia="Times New Roman" w:cs="Times New Roman"/>
          <w:sz w:val="20"/>
          <w:szCs w:val="20"/>
          <w:b w:val="1"/>
          <w:bCs w:val="1"/>
        </w:rPr>
        <w:t xml:space="preserve">ITEM 6. Exhibits</w:t>
      </w:r>
    </w:p>
    <w:tbl>
      <w:tblGrid>
        <w:gridCol w:w="3500" w:type="dxa"/>
        <w:gridCol w:w="4300" w:type="dxa"/>
        <w:gridCol w:w="2200" w:type="dxa"/>
      </w:tblGrid>
      <w:tblPr>
        <w:jc w:val="center"/>
        <w:tblW w:w="0" w:type="pct"/>
        <w:tblCellSpacing w:w="0" w:type="dxa"/>
        <w:tblLayout w:type="autofit"/>
      </w:tblPr>
      <w:tr>
        <w:trPr/>
        <w:tc>
          <w:tcPr>
            <w:tcW w:w="3500" w:type="pct"/>
            <w:vAlign w:val="top"/>
            <w:noWrap/>
          </w:tcPr>
          <w:p>
            <w:pPr>
              <w:jc w:val="center"/>
              <w:spacing w:before="0" w:after="0"/>
            </w:pPr>
            <w:r>
              <w:rPr>
                <w:rFonts w:ascii="Times New Roman" w:hAnsi="Times New Roman" w:eastAsia="Times New Roman" w:cs="Times New Roman"/>
                <w:sz w:val="16"/>
                <w:szCs w:val="16"/>
                <w:b w:val="1"/>
                <w:bCs w:val="1"/>
              </w:rPr>
              <w:t xml:space="preserve">Exhibit Number</w:t>
            </w:r>
          </w:p>
        </w:tc>
        <w:tc>
          <w:tcPr>
            <w:tcW w:w="4300" w:type="pct"/>
            <w:vAlign w:val="top"/>
            <w:noWrap/>
          </w:tcPr>
          <w:p>
            <w:pPr>
              <w:jc w:val="center"/>
              <w:spacing w:before="0" w:after="0"/>
            </w:pPr>
            <w:r>
              <w:rPr>
                <w:rFonts w:ascii="Times New Roman" w:hAnsi="Times New Roman" w:eastAsia="Times New Roman" w:cs="Times New Roman"/>
                <w:sz w:val="16"/>
                <w:szCs w:val="16"/>
                <w:b w:val="1"/>
                <w:bCs w:val="1"/>
              </w:rPr>
              <w:t xml:space="preserve">    </w:t>
            </w:r>
          </w:p>
        </w:tc>
        <w:tc>
          <w:tcPr>
            <w:tcW w:w="2200" w:type="pct"/>
            <w:vAlign w:val="top"/>
            <w:noWrap/>
          </w:tcPr>
          <w:p>
            <w:pPr>
              <w:jc w:val="center"/>
              <w:spacing w:before="0" w:after="0"/>
            </w:pPr>
            <w:r>
              <w:rPr>
                <w:rFonts w:ascii="Times New Roman" w:hAnsi="Times New Roman" w:eastAsia="Times New Roman" w:cs="Times New Roman"/>
                <w:sz w:val="16"/>
                <w:szCs w:val="16"/>
                <w:b w:val="1"/>
                <w:bCs w:val="1"/>
              </w:rPr>
              <w:t xml:space="preserve">Description</w:t>
            </w:r>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31.1*</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hyperlink r:id="rId7" w:history="1">
              <w:r>
                <w:rPr/>
                <w:t xml:space="preserve">Certification of Chief Executive officer pursuant to Exchange Act Rule 13a-14(a) under the Securities and Exchange Act of 1934.</w:t>
              </w:r>
            </w:hyperlink>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 </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31.2*</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hyperlink r:id="rId8" w:history="1">
              <w:r>
                <w:rPr/>
                <w:t xml:space="preserve">Certification of Chief Financial Officer pursuant to Exchange Act Rule 13a-14(a) under the Securities and Exchange Act of 1934.</w:t>
              </w:r>
            </w:hyperlink>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 </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32.1**</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hyperlink r:id="rId9" w:history="1">
              <w:r>
                <w:rPr/>
                <w:t xml:space="preserve">Certification of Chief Executive Officer Pursuant to 18 U.S.C. Section 1350, as Adopted Pursuant to Section 906 of the Sarbanes-Oxley Act of 2002 (incorporated by reference to Exhibit 32.1 to the Company’s Quarterly Report on Form10-Q filed with the SEC on May 10, 2018).</w:t>
              </w:r>
            </w:hyperlink>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 </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3500" w:type="pct"/>
            <w:vAlign w:val="top"/>
            <w:noWrap/>
          </w:tcPr>
          <w:p>
            <w:pPr>
              <w:jc w:val="center"/>
              <w:spacing w:before="0" w:after="0"/>
            </w:pPr>
            <w:r>
              <w:rPr>
                <w:rFonts w:ascii="Times New Roman" w:hAnsi="Times New Roman" w:eastAsia="Times New Roman" w:cs="Times New Roman"/>
                <w:sz w:val="20"/>
                <w:szCs w:val="20"/>
              </w:rPr>
              <w:t xml:space="preserve">32.2**</w:t>
            </w:r>
          </w:p>
        </w:tc>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2200" w:type="pct"/>
            <w:vAlign w:val="top"/>
            <w:noWrap/>
          </w:tcPr>
          <w:p>
            <w:pPr>
              <w:jc w:val="both"/>
              <w:spacing w:before="0" w:after="0"/>
            </w:pPr>
            <w:hyperlink r:id="rId10" w:history="1">
              <w:r>
                <w:rPr/>
                <w:t xml:space="preserve">Certification of Chief Financial Officer Pursuant to 18 U.S.C. Section 1350, as Adopted Pursuant to Section 906 of the Sarbanes-Oxley Act of 2002 (incorporated by reference to Exhibit 32.2 to the Company’s Quarterly Report on Form10-Q filed with the SEC on May 10, 2018).</w:t>
              </w:r>
            </w:hyperlink>
          </w:p>
        </w:tc>
      </w:tr>
    </w:tbl>
    <w:p>
      <w:pPr>
        <w:jc w:val="start"/>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ind w:left="0" w:right="0" w:firstLine="360" w:hanging="0"/>
        <w:spacing w:before="0" w:after="0"/>
      </w:pPr>
      <w:r>
        <w:rPr>
          <w:rFonts w:ascii="Times New Roman" w:hAnsi="Times New Roman" w:eastAsia="Times New Roman" w:cs="Times New Roman"/>
          <w:sz w:val="20"/>
          <w:szCs w:val="20"/>
        </w:rPr>
        <w:t xml:space="preserve">*     Filed herewith.</w:t>
      </w:r>
    </w:p>
    <w:p>
      <w:pPr>
        <w:ind w:left="0" w:right="0" w:firstLine="360" w:hanging="0"/>
        <w:spacing w:before="0" w:after="0"/>
      </w:pPr>
      <w:r>
        <w:rPr>
          <w:rFonts w:ascii="Times New Roman" w:hAnsi="Times New Roman" w:eastAsia="Times New Roman" w:cs="Times New Roman"/>
          <w:sz w:val="20"/>
          <w:szCs w:val="20"/>
        </w:rPr>
        <w:t xml:space="preserve">**   Previously filed.</w:t>
      </w:r>
    </w:p>
    <w:p>
      <w:pPr>
        <w:spacing w:before="0" w:after="0"/>
      </w:pPr>
      <w:r>
        <w:rPr>
          <w:rFonts w:ascii="Times New Roman" w:hAnsi="Times New Roman" w:eastAsia="Times New Roman" w:cs="Times New Roman"/>
          <w:sz w:val="20"/>
          <w:szCs w:val="20"/>
        </w:rPr>
        <w:t xml:space="preserve"> </w:t>
      </w:r>
    </w:p>
    <w:p>
      <w:pPr>
        <w:spacing w:before="0" w:after="0"/>
      </w:pP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jc w:val="center"/>
        <w:spacing w:before="0" w:after="0"/>
      </w:pPr>
      <w:r>
        <w:rPr>
          <w:rFonts w:ascii="Times New Roman" w:hAnsi="Times New Roman" w:eastAsia="Times New Roman" w:cs="Times New Roman"/>
          <w:color w:val="000000"/>
          <w:sz w:val="20"/>
          <w:szCs w:val="20"/>
          <w:b w:val="1"/>
          <w:bCs w:val="1"/>
        </w:rPr>
        <w:t xml:space="preserve">SIGNATURES</w:t>
      </w:r>
    </w:p>
    <w:p>
      <w:pPr>
        <w:jc w:val="both"/>
        <w:ind w:left="0" w:right="0" w:firstLine="360" w:hanging="0"/>
        <w:spacing w:before="0" w:after="0"/>
      </w:pPr>
      <w:r>
        <w:rPr>
          <w:rFonts w:ascii="Times New Roman" w:hAnsi="Times New Roman" w:eastAsia="Times New Roman" w:cs="Times New Roman"/>
          <w:sz w:val="20"/>
          <w:szCs w:val="20"/>
        </w:rPr>
        <w:t xml:space="preserve">Pursuant to the requirements of the Securities Exchange Act of 1934, the registrant has duly caused this report to be signed on its behalf by the undersigned thereunto duly authorized.</w:t>
      </w:r>
    </w:p>
    <w:tbl>
      <w:tblGrid>
        <w:gridCol w:w="400" w:type="dxa"/>
        <w:gridCol w:w="1900" w:type="dxa"/>
        <w:gridCol w:w="2700" w:type="dxa"/>
      </w:tblGrid>
      <w:tblPr>
        <w:jc w:val="center"/>
        <w:tblW w:w="0" w:type="pct"/>
        <w:tblCellSpacing w:w="0" w:type="dxa"/>
        <w:tblLayout w:type="autofit"/>
      </w:tblP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b w:val="1"/>
                <w:bCs w:val="1"/>
                <w:shd w:val="clear" w:fill="auto"/>
              </w:rPr>
              <w:t xml:space="preserve">AVISTA HEALTHCARE PUBLIC ACQUISITION CORP.</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(Registrant)</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Dated: October 15, 2018</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By:</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/s/ David Burgstahler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b w:val="1"/>
                <w:bCs w:val="1"/>
                <w:shd w:val="clear" w:fill="auto"/>
              </w:rPr>
              <w:t xml:space="preserve">David Burgstahler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President and Chief Executive Officer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(Principal Executive Officer)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Dated: October 15, 2018</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By:</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/s/ John Cafasso</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b w:val="1"/>
                <w:bCs w:val="1"/>
                <w:shd w:val="clear" w:fill="auto"/>
              </w:rPr>
              <w:t xml:space="preserve">John Cafasso</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Chief Financial Officer</w:t>
            </w:r>
          </w:p>
        </w:tc>
      </w:tr>
    </w:tbl>
    <w:p>
      <w:pPr>
        <w:spacing w:before="0" w:after="0"/>
      </w:pPr>
      <w:r>
        <w:rPr>
          <w:rFonts w:ascii="Times New Roman" w:hAnsi="Times New Roman" w:eastAsia="Times New Roman" w:cs="Times New Roman"/>
          <w:sz w:val="2"/>
          <w:szCs w:val="2"/>
        </w:rPr>
        <w:t xml:space="preserve"> </w:t>
      </w:r>
    </w:p>
    <w:p>
      <w:pPr>
        <w:spacing w:before="0" w:after="0"/>
      </w:pPr>
      <w:r>
        <w:rPr>
          <w:rFonts w:ascii="Times New Roman" w:hAnsi="Times New Roman" w:eastAsia="Times New Roman" w:cs="Times New Roman"/>
          <w:sz w:val="20"/>
          <w:szCs w:val="20"/>
        </w:rPr>
        <w:t xml:space="preserve"> </w:t>
      </w: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ex-31d1.htm" TargetMode="External"/><Relationship Id="rId8" Type="http://schemas.openxmlformats.org/officeDocument/2006/relationships/hyperlink" Target="ex-31d2.htm" TargetMode="External"/><Relationship Id="rId9" Type="http://schemas.openxmlformats.org/officeDocument/2006/relationships/hyperlink" Target="http://www.sec.gov/Archives/edgar/data/1661181/000155837018004664/ahpa-20180331ex3216752c4.htm" TargetMode="External"/><Relationship Id="rId10" Type="http://schemas.openxmlformats.org/officeDocument/2006/relationships/hyperlink" Target="http://www.sec.gov/Archives/edgar/data/1661181/000155837018004664/ahpa-20180331ex322cf313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2026-08-08T03:40:34-04:00</dcterms:created>
  <dcterms:modified xsi:type="dcterms:W3CDTF">2026-08-08T03:40:34-04:00</dcterms:modified>
</cp:coreProperties>
</file>

<file path=docProps/custom.xml><?xml version="1.0" encoding="utf-8"?>
<Properties xmlns="http://schemas.openxmlformats.org/officeDocument/2006/custom-properties" xmlns:vt="http://schemas.openxmlformats.org/officeDocument/2006/docPropsVTypes"/>
</file>