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VI,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65 EAST 55TH STREET, 18TH FLOOR</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11/12/2024</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r>
        <w:trPr/>
        <w:tc>
          <w:tcPr>
            <w:tcW w:w="5000" w:type="pct"/>
            <w:noWrap/>
          </w:tcPr>
          <w:p>
            <w:pPr>
              <w:jc w:val="start"/>
            </w:pPr>
            <w:r>
              <w:rPr/>
              <w:t xml:space="preserve">Class A Common Stock, par value $0.0001 per share</w:t>
            </w:r>
          </w:p>
        </w:tc>
        <w:tc>
          <w:tcPr>
            <w:tcW w:w="5000" w:type="pct"/>
            <w:noWrap/>
          </w:tcPr>
          <w:p>
            <w:pPr>
              <w:jc w:val="center"/>
            </w:pPr>
            <w:r>
              <w:rPr/>
              <w:t xml:space="preserve">2,178,317</w:t>
            </w:r>
            <w:r>
              <w:rPr>
                <w:vertAlign w:val="superscript"/>
              </w:rPr>
              <w:t xml:space="preserve">(1)</w:t>
            </w:r>
            <w:r>
              <w:rPr>
                <w:vertAlign w:val="superscript"/>
              </w:rPr>
              <w:t xml:space="preserve">(6)</w:t>
            </w:r>
            <w:r>
              <w:rPr>
                <w:vertAlign w:val="superscript"/>
              </w:rPr>
              <w:t xml:space="preserve">(7)</w:t>
            </w:r>
          </w:p>
        </w:tc>
        <w:tc>
          <w:tcPr>
            <w:tcW w:w="5000" w:type="pct"/>
            <w:noWrap/>
          </w:tcPr>
          <w:p>
            <w:pPr>
              <w:jc w:val="center"/>
            </w:pPr>
            <w:r>
              <w:rPr/>
              <w:t xml:space="preserve">D</w:t>
            </w:r>
            <w:r>
              <w:rPr>
                <w:vertAlign w:val="superscript"/>
              </w:rPr>
              <w:t xml:space="preserve">(1)</w:t>
            </w:r>
            <w:r>
              <w:rPr>
                <w:vertAlign w:val="superscript"/>
              </w:rPr>
              <w:t xml:space="preserve">(6)</w:t>
            </w:r>
            <w:r>
              <w:rPr>
                <w:vertAlign w:val="superscript"/>
              </w:rPr>
              <w:t xml:space="preserve">(7)</w:t>
            </w:r>
          </w:p>
        </w:tc>
        <w:tc>
          <w:tcPr>
            <w:tcW w:w="5000" w:type="pct"/>
            <w:noWrap/>
          </w:tcPr>
          <w:p>
            <w:pPr>
              <w:jc w:val="start"/>
            </w:pPr>
          </w:p>
        </w:tc>
      </w:tr>
      <w:tr>
        <w:trPr/>
        <w:tc>
          <w:tcPr>
            <w:tcW w:w="5000" w:type="pct"/>
            <w:noWrap/>
          </w:tcPr>
          <w:p>
            <w:pPr>
              <w:jc w:val="start"/>
            </w:pPr>
            <w:r>
              <w:rPr/>
              <w:t xml:space="preserve">Class A Common Stock, par value $0.0001 per share</w:t>
            </w:r>
          </w:p>
        </w:tc>
        <w:tc>
          <w:tcPr>
            <w:tcW w:w="5000" w:type="pct"/>
            <w:noWrap/>
          </w:tcPr>
          <w:p>
            <w:pPr>
              <w:jc w:val="center"/>
            </w:pPr>
            <w:r>
              <w:rPr/>
              <w:t xml:space="preserve">1,555,704</w:t>
            </w:r>
            <w:r>
              <w:rPr>
                <w:vertAlign w:val="superscript"/>
              </w:rPr>
              <w:t xml:space="preserve">(2)</w:t>
            </w:r>
            <w:r>
              <w:rPr>
                <w:vertAlign w:val="superscript"/>
              </w:rPr>
              <w:t xml:space="preserve">(6)</w:t>
            </w:r>
            <w:r>
              <w:rPr>
                <w:vertAlign w:val="superscript"/>
              </w:rPr>
              <w:t xml:space="preserve">(7)</w:t>
            </w:r>
          </w:p>
        </w:tc>
        <w:tc>
          <w:tcPr>
            <w:tcW w:w="5000" w:type="pct"/>
            <w:noWrap/>
          </w:tcPr>
          <w:p>
            <w:pPr>
              <w:jc w:val="center"/>
            </w:pPr>
            <w:r>
              <w:rPr/>
              <w:t xml:space="preserve">D</w:t>
            </w:r>
            <w:r>
              <w:rPr>
                <w:vertAlign w:val="superscript"/>
              </w:rPr>
              <w:t xml:space="preserve">(2)</w:t>
            </w:r>
            <w:r>
              <w:rPr>
                <w:vertAlign w:val="superscript"/>
              </w:rPr>
              <w:t xml:space="preserve">(6)</w:t>
            </w:r>
            <w:r>
              <w:rPr>
                <w:vertAlign w:val="superscript"/>
              </w:rPr>
              <w:t xml:space="preserve">(7)</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r>
        <w:trPr/>
        <w:tc>
          <w:tcPr>
            <w:tcW w:w="5000" w:type="pct"/>
            <w:noWrap/>
          </w:tcPr>
          <w:p>
            <w:pPr>
              <w:jc w:val="start"/>
            </w:pPr>
            <w:r>
              <w:rPr/>
              <w:t xml:space="preserve">Series A Convertible Preferred Stock</w:t>
            </w:r>
            <w:r>
              <w:rPr>
                <w:vertAlign w:val="superscript"/>
              </w:rPr>
              <w:t xml:space="preserve">(4)</w:t>
            </w:r>
          </w:p>
        </w:tc>
        <w:tc>
          <w:tcPr>
            <w:tcW w:w="5000" w:type="pct"/>
            <w:noWrap/>
          </w:tcPr>
          <w:p>
            <w:pPr>
              <w:jc w:val="center"/>
            </w:pPr>
            <w:r>
              <w:rPr/>
              <w:t xml:space="preserve">                            </w:t>
            </w:r>
            <w:r>
              <w:rPr>
                <w:vertAlign w:val="superscript"/>
              </w:rPr>
              <w:t xml:space="preserve">(4)</w:t>
            </w:r>
          </w:p>
        </w:tc>
        <w:tc>
          <w:tcPr>
            <w:tcW w:w="5000" w:type="pct"/>
            <w:noWrap/>
          </w:tcPr>
          <w:p>
            <w:pPr>
              <w:jc w:val="center"/>
            </w:pPr>
            <w:r>
              <w:rPr/>
              <w:t xml:space="preserve">                            </w:t>
            </w:r>
            <w:r>
              <w:rPr>
                <w:vertAlign w:val="superscript"/>
              </w:rPr>
              <w:t xml:space="preserve">(4)</w:t>
            </w:r>
          </w:p>
        </w:tc>
        <w:tc>
          <w:tcPr>
            <w:tcW w:w="5000" w:type="pct"/>
            <w:noWrap/>
          </w:tcPr>
          <w:p>
            <w:pPr>
              <w:jc w:val="center"/>
            </w:pPr>
            <w:r>
              <w:rPr/>
              <w:t xml:space="preserve">Class A Common Stock, par value $0.0001 per share</w:t>
            </w:r>
          </w:p>
        </w:tc>
        <w:tc>
          <w:tcPr>
            <w:tcW w:w="5000" w:type="pct"/>
            <w:noWrap/>
          </w:tcPr>
          <w:p>
            <w:pPr>
              <w:jc w:val="center"/>
            </w:pPr>
            <w:r>
              <w:rPr/>
              <w:t xml:space="preserve">26,502,042</w:t>
            </w:r>
            <w:r>
              <w:rPr>
                <w:vertAlign w:val="superscript"/>
              </w:rPr>
              <w:t xml:space="preserve">(5)</w:t>
            </w:r>
          </w:p>
        </w:tc>
        <w:tc>
          <w:tcPr>
            <w:tcW w:w="5000" w:type="pct"/>
            <w:noWrap/>
          </w:tcPr>
          <w:p>
            <w:pPr>
              <w:jc w:val="center"/>
            </w:pPr>
            <w:r>
              <w:rPr>
                <w:vertAlign w:val="superscript"/>
              </w:rPr>
              <w:t xml:space="preserve">(4)</w:t>
            </w:r>
          </w:p>
        </w:tc>
        <w:tc>
          <w:tcPr>
            <w:tcW w:w="5000" w:type="pct"/>
            <w:noWrap/>
          </w:tcPr>
          <w:p>
            <w:pPr>
              <w:jc w:val="center"/>
            </w:pPr>
            <w:r>
              <w:rPr/>
              <w:t xml:space="preserve">I</w:t>
            </w:r>
            <w:r>
              <w:rPr>
                <w:vertAlign w:val="superscript"/>
              </w:rPr>
              <w:t xml:space="preserve">(3)</w:t>
            </w:r>
            <w:r>
              <w:rPr>
                <w:vertAlign w:val="superscript"/>
              </w:rPr>
              <w:t xml:space="preserve">(6)</w:t>
            </w:r>
            <w:r>
              <w:rPr>
                <w:vertAlign w:val="superscript"/>
              </w:rPr>
              <w:t xml:space="preserve">(7)</w:t>
            </w:r>
          </w:p>
        </w:tc>
        <w:tc>
          <w:tcPr>
            <w:tcW w:w="5000" w:type="pct"/>
            <w:noWrap/>
          </w:tcPr>
          <w:p>
            <w:pPr>
              <w:jc w:val="start"/>
            </w:pPr>
            <w:r>
              <w:rPr/>
              <w:t xml:space="preserve">See Explanation of Responses</w:t>
            </w:r>
            <w:r>
              <w:rPr>
                <w:vertAlign w:val="superscript"/>
              </w:rPr>
              <w:t xml:space="preserve">(3)</w:t>
            </w:r>
            <w:r>
              <w:rPr>
                <w:vertAlign w:val="superscript"/>
              </w:rPr>
              <w:t xml:space="preserve">(6)</w:t>
            </w:r>
            <w:r>
              <w:rPr>
                <w:vertAlign w:val="superscript"/>
              </w:rPr>
              <w:t xml:space="preserve">(7)</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VI,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65 EAST 55TH STREET, 18TH FLOOR</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Capital Partners VI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 18TH FLOOR</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Healthcare Partners III,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65 EAST 55TH STREET, 18TH FLOOR</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AHP III Orchestra Holdings,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 18TH FLOOR</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Dean Thompson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 18TH FLOOR</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Burgstahler David F</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65 EAST 55TH STREET 18TH FLOOR</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shares of common stock directly held by Thompson Dean.</w:t>
            </w:r>
          </w:p>
        </w:tc>
      </w:tr>
      <w:tr>
        <w:trPr/>
        <w:tc>
          <w:tcPr>
            <w:tcW w:w="5000" w:type="pct"/>
            <w:noWrap/>
          </w:tcPr>
          <w:p>
            <w:pPr/>
            <w:r>
              <w:rPr/>
              <w:t xml:space="preserve">2. Represents shares of common stock directly held by David Burgstahler.</w:t>
            </w:r>
          </w:p>
        </w:tc>
      </w:tr>
      <w:tr>
        <w:trPr/>
        <w:tc>
          <w:tcPr>
            <w:tcW w:w="5000" w:type="pct"/>
            <w:noWrap/>
          </w:tcPr>
          <w:p>
            <w:pPr/>
            <w:r>
              <w:rPr/>
              <w:t xml:space="preserve">3. Avista Healthcare Partners III, L.P. ("AHP III") directly owns 65,750 shares of the Issuer's Series A Convertible Preferred Stock, par value $0.0001 per share (the "Convertible Preferred Stock"), and AHP III Orchestra Holdings, L.P. ("AHP III Orchestra") directly owns 64,250 shares of Convertible Preferred Stock.  Avista Capital Partners VI GP, L.P. ("ACP VI GP") is the general partner of each of AHP III and AHP III Orchestra, and Avista Capital Managing Member VI, LLC ("Avista Managing Member") is the general partners of ACP VI GP.  Thompson Dean and David Burgstahler are the managers of Avista Managing Member.</w:t>
            </w:r>
          </w:p>
        </w:tc>
      </w:tr>
      <w:tr>
        <w:trPr/>
        <w:tc>
          <w:tcPr>
            <w:tcW w:w="5000" w:type="pct"/>
            <w:noWrap/>
          </w:tcPr>
          <w:p>
            <w:pPr/>
            <w:r>
              <w:rPr/>
              <w:t xml:space="preserve">4. The Convertible Preferred Stock is convertible at the option of a holder at any time into shares of common stock of the Issuer at an initial implied conversion price of $3.7917 per share; provided, however, the maximum number of shares of common stock issuable upon conversion of the Convertible Preferred Stock prior to receipt by the Issuer of stockholder approval (the "Requisite Stockholder Approval"), as contemplated by Nasdaq listing rules, is an aggregate of 26,502,042 shares of common stock (the "Share Cap"), and until the Requisite Stockholder Approval is obtained, no person or group of persons may beneficially own shares of common stock issuable upon conversion of the Convertible Preferred Stock in an amount greater than 19.99% of the then-outstanding shares of common stock.. The Convertible Preferred Stock has no expiration date.</w:t>
            </w:r>
          </w:p>
        </w:tc>
      </w:tr>
      <w:tr>
        <w:trPr/>
        <w:tc>
          <w:tcPr>
            <w:tcW w:w="5000" w:type="pct"/>
            <w:noWrap/>
          </w:tcPr>
          <w:p>
            <w:pPr/>
            <w:r>
              <w:rPr/>
              <w:t xml:space="preserve">5. Represents the number of shares of the Issuer's common stock that the Convertible Preferred Stock held by AHP III and AHP III Orchestra is currently convertible into due to the Share Cap.</w:t>
            </w:r>
          </w:p>
        </w:tc>
      </w:tr>
      <w:tr>
        <w:trPr/>
        <w:tc>
          <w:tcPr>
            <w:tcW w:w="5000" w:type="pct"/>
            <w:noWrap/>
          </w:tcPr>
          <w:p>
            <w:pPr/>
            <w:r>
              <w:rPr/>
              <w:t xml:space="preserve">6.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7.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See Exhibit 24.1 - Power of Attorney</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AVISTA HEALTHCARE PARTNERS III, L.P, by Avista Capital Partners VI GP, L.P., its general partner, by Avista Capital Managing Member VI, LLC, its general partner /s/ Benjamin Silbert, Authorized Representative</w:t>
            </w:r>
          </w:p>
        </w:tc>
        <w:tc>
          <w:tcPr>
            <w:tcW w:w="1000" w:type="pct"/>
            <w:noWrap/>
          </w:tcPr>
          <w:p>
            <w:pPr/>
            <w:r>
              <w:rPr>
                <w:u w:val="single"/>
              </w:rPr>
              <w:t xml:space="preserve">11/19/2024</w:t>
            </w:r>
          </w:p>
        </w:tc>
      </w:tr>
      <w:tr>
        <w:trPr/>
        <w:tc>
          <w:tcPr>
            <w:tcW w:w="3000" w:type="pct"/>
            <w:noWrap/>
          </w:tcPr>
          <w:p>
            <w:pPr/>
          </w:p>
        </w:tc>
        <w:tc>
          <w:tcPr>
            <w:tcW w:w="1000" w:type="pct"/>
            <w:noWrap/>
          </w:tcPr>
          <w:p>
            <w:pPr/>
            <w:r>
              <w:rPr>
                <w:u w:val="single"/>
              </w:rPr>
              <w:t xml:space="preserve">AHP III ORCHESTRA HOLDINGS, L.P, by Avista Capital Partners VI GP, L.P., its general partner, by Avista Capital Managing Member VI, LLC, its general partner /s/ Benjamin Silbert, Authorized Representative</w:t>
            </w:r>
          </w:p>
        </w:tc>
        <w:tc>
          <w:tcPr>
            <w:tcW w:w="1000" w:type="pct"/>
            <w:noWrap/>
          </w:tcPr>
          <w:p>
            <w:pPr/>
            <w:r>
              <w:rPr>
                <w:u w:val="single"/>
              </w:rPr>
              <w:t xml:space="preserve">11/19/2024</w:t>
            </w:r>
          </w:p>
        </w:tc>
      </w:tr>
      <w:tr>
        <w:trPr/>
        <w:tc>
          <w:tcPr>
            <w:tcW w:w="3000" w:type="pct"/>
            <w:noWrap/>
          </w:tcPr>
          <w:p>
            <w:pPr/>
          </w:p>
        </w:tc>
        <w:tc>
          <w:tcPr>
            <w:tcW w:w="1000" w:type="pct"/>
            <w:noWrap/>
          </w:tcPr>
          <w:p>
            <w:pPr/>
            <w:r>
              <w:rPr>
                <w:u w:val="single"/>
              </w:rPr>
              <w:t xml:space="preserve">AVISTA CAPITAL PARTNERS VI GP, L.P, by Avista Capital Managing Member VI, LLC, its general partner /s/ Benjamin Silbert, Authorized Representative</w:t>
            </w:r>
          </w:p>
        </w:tc>
        <w:tc>
          <w:tcPr>
            <w:tcW w:w="1000" w:type="pct"/>
            <w:noWrap/>
          </w:tcPr>
          <w:p>
            <w:pPr/>
            <w:r>
              <w:rPr>
                <w:u w:val="single"/>
              </w:rPr>
              <w:t xml:space="preserve">11/19/2024</w:t>
            </w:r>
          </w:p>
        </w:tc>
      </w:tr>
      <w:tr>
        <w:trPr/>
        <w:tc>
          <w:tcPr>
            <w:tcW w:w="3000" w:type="pct"/>
            <w:noWrap/>
          </w:tcPr>
          <w:p>
            <w:pPr/>
          </w:p>
        </w:tc>
        <w:tc>
          <w:tcPr>
            <w:tcW w:w="1000" w:type="pct"/>
            <w:noWrap/>
          </w:tcPr>
          <w:p>
            <w:pPr/>
            <w:r>
              <w:rPr>
                <w:u w:val="single"/>
              </w:rPr>
              <w:t xml:space="preserve">AVISTA CAPITAL MANAGING MEMBER VI, LLC, /s/ Benjamin Silbert, Authorized Representative</w:t>
            </w:r>
          </w:p>
        </w:tc>
        <w:tc>
          <w:tcPr>
            <w:tcW w:w="1000" w:type="pct"/>
            <w:noWrap/>
          </w:tcPr>
          <w:p>
            <w:pPr/>
            <w:r>
              <w:rPr>
                <w:u w:val="single"/>
              </w:rPr>
              <w:t xml:space="preserve">11/19/2024</w:t>
            </w:r>
          </w:p>
        </w:tc>
      </w:tr>
      <w:tr>
        <w:trPr/>
        <w:tc>
          <w:tcPr>
            <w:tcW w:w="3000" w:type="pct"/>
            <w:noWrap/>
          </w:tcPr>
          <w:p>
            <w:pPr/>
          </w:p>
        </w:tc>
        <w:tc>
          <w:tcPr>
            <w:tcW w:w="1000" w:type="pct"/>
            <w:noWrap/>
          </w:tcPr>
          <w:p>
            <w:pPr/>
            <w:r>
              <w:rPr>
                <w:u w:val="single"/>
              </w:rPr>
              <w:t xml:space="preserve">/s/ Benjamin Silbert, Attorney-in-Fact for Thompson Dean</w:t>
            </w:r>
          </w:p>
        </w:tc>
        <w:tc>
          <w:tcPr>
            <w:tcW w:w="1000" w:type="pct"/>
            <w:noWrap/>
          </w:tcPr>
          <w:p>
            <w:pPr/>
            <w:r>
              <w:rPr>
                <w:u w:val="single"/>
              </w:rPr>
              <w:t xml:space="preserve">11/19/2024</w:t>
            </w:r>
          </w:p>
        </w:tc>
      </w:tr>
      <w:tr>
        <w:trPr/>
        <w:tc>
          <w:tcPr>
            <w:tcW w:w="3000" w:type="pct"/>
            <w:noWrap/>
          </w:tcPr>
          <w:p>
            <w:pPr/>
          </w:p>
        </w:tc>
        <w:tc>
          <w:tcPr>
            <w:tcW w:w="1000" w:type="pct"/>
            <w:noWrap/>
          </w:tcPr>
          <w:p>
            <w:pPr/>
            <w:r>
              <w:rPr>
                <w:u w:val="single"/>
              </w:rPr>
              <w:t xml:space="preserve">/s/ Benjamin Silbert, Attorney-in-Fact for David Burgstahler</w:t>
            </w:r>
          </w:p>
        </w:tc>
        <w:tc>
          <w:tcPr>
            <w:tcW w:w="1000" w:type="pct"/>
            <w:noWrap/>
          </w:tcPr>
          <w:p>
            <w:pPr/>
            <w:r>
              <w:rPr>
                <w:u w:val="single"/>
              </w:rPr>
              <w:t xml:space="preserve">11/19/2024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044998"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2044889" TargetMode="External"/><Relationship Id="rId10" Type="http://schemas.openxmlformats.org/officeDocument/2006/relationships/hyperlink" Target="/cgi-bin/browse-edgar?action=getcompany&amp;CIK=0002044866" TargetMode="External"/><Relationship Id="rId11" Type="http://schemas.openxmlformats.org/officeDocument/2006/relationships/hyperlink" Target="/cgi-bin/browse-edgar?action=getcompany&amp;CIK=0002044926" TargetMode="External"/><Relationship Id="rId12" Type="http://schemas.openxmlformats.org/officeDocument/2006/relationships/hyperlink" Target="/cgi-bin/browse-edgar?action=getcompany&amp;CIK=0001069096" TargetMode="External"/><Relationship Id="rId13" Type="http://schemas.openxmlformats.org/officeDocument/2006/relationships/hyperlink" Target="/cgi-bin/browse-edgar?action=getcompany&amp;CIK=0001374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2026-08-07T06:17:04-04:00</dcterms:created>
  <dcterms:modified xsi:type="dcterms:W3CDTF">2026-08-07T06:17:04-04:00</dcterms:modified>
</cp:coreProperties>
</file>

<file path=docProps/custom.xml><?xml version="1.0" encoding="utf-8"?>
<Properties xmlns="http://schemas.openxmlformats.org/officeDocument/2006/custom-properties" xmlns:vt="http://schemas.openxmlformats.org/officeDocument/2006/docPropsVTypes"/>
</file>