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3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3</w:t>
            </w:r>
          </w:p>
        </w:tc>
        <w:tc>
          <w:tcPr>
            <w:tcW w:w="3000" w:type="pct"/>
            <w:vAlign w:val="center"/>
            <w:noWrap/>
          </w:tcPr>
          <w:p>
            <w:pPr>
              <w:jc w:val="center"/>
            </w:pPr>
            <w:r>
              <w:rPr/>
              <w:t xml:space="preserve">UNITED STATES SECURITIES AND EXCHANGE COMMISSION</w:t>
            </w:r>
            <w:br/>
            <w:r>
              <w:rPr/>
              <w:t xml:space="preserve">Washington, D.C. 20549</w:t>
            </w:r>
            <w:br/>
            <w:br/>
            <w:r>
              <w:rPr/>
              <w:t xml:space="preserve">INITIAL STATEMENT OF BENEFICIAL OWNERSHIP OF SECURITIES</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3235-0104</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bl>
    <w:tbl>
      <w:tblGrid>
        <w:gridCol w:w="1500" w:type="dxa"/>
        <w:gridCol w:w="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5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Cavorsi Robert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750" w:type="pct"/>
            <w:vAlign w:val="top"/>
            <w:noWrap/>
          </w:tcPr>
          <w:p>
            <w:pPr/>
            <w:r>
              <w:rPr/>
              <w:t xml:space="preserve">2. Date of Event Requiring Statement         (Month/Day/Year)</w:t>
            </w:r>
            <w:br/>
            <w:r>
              <w:rPr/>
              <w:t xml:space="preserve">04/19/2024</w:t>
            </w:r>
          </w:p>
        </w:tc>
        <w:tc>
          <w:tcPr>
            <w:tcW w:w="5000" w:type="pct"/>
            <w:vAlign w:val="top"/>
            <w:gridSpan w:val="2"/>
            <w:noWrap/>
          </w:tcPr>
          <w:p>
            <w:pPr/>
            <w:r>
              <w:rPr/>
              <w:t xml:space="preserve">3.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r>
      <w:tr>
        <w:trPr/>
        <w:tc>
          <w:tcPr>
            <w:tcW w:w="1500" w:type="pct"/>
            <w:vAlign w:val="top"/>
            <w:noWrap/>
          </w:tcPr>
          <w:p>
            <w:pPr/>
            <w:r>
              <w:rPr/>
              <w:t xml:space="preserve">4.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Vice President, Strategy</w:t>
                  </w:r>
                </w:p>
              </w:tc>
              <w:tc>
                <w:tcPr>
                  <w:tcW w:w="750" w:type="pct"/>
                  <w:vAlign w:val="top"/>
                  <w:noWrap/>
                </w:tcPr>
                <w:p>
                  <w:pPr>
                    <w:jc w:val="center"/>
                  </w:pPr>
                </w:p>
              </w:tc>
              <w:tc>
                <w:tcPr>
                  <w:tcW w:w="1750" w:type="pct"/>
                  <w:vAlign w:val="top"/>
                  <w:noWrap/>
                </w:tcPr>
                <w:p>
                  <w:pPr>
                    <w:jc w:val="start"/>
                  </w:pPr>
                </w:p>
              </w:tc>
            </w:tr>
          </w:tbl>
          <w:p/>
        </w:tc>
        <w:tc>
          <w:tcPr>
            <w:tcW w:w="5000" w:type="pct"/>
            <w:vAlign w:val="top"/>
            <w:noWrap/>
          </w:tcPr>
          <w:p>
            <w:pPr/>
            <w:r>
              <w:rPr/>
              <w:t xml:space="preserve">5. If Amendment, Date of Original Filed         (Month/Day/Year)</w:t>
            </w:r>
            <w:br/>
          </w:p>
        </w:tc>
      </w:tr>
      <w:tr>
        <w:trPr/>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2200" w:type="dxa"/>
        <w:gridCol w:w="950" w:type="dxa"/>
        <w:gridCol w:w="550" w:type="dxa"/>
        <w:gridCol w:w="13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4"/>
            <w:noWrap/>
          </w:tcPr>
          <w:p>
            <w:pPr>
              <w:jc w:val="center"/>
            </w:pPr>
            <w:r>
              <w:rPr>
                <w:b w:val="1"/>
                <w:bCs w:val="1"/>
              </w:rPr>
              <w:t xml:space="preserve">Table I - Non-Derivative Securities Beneficially Owned</w:t>
            </w:r>
          </w:p>
        </w:tc>
      </w:tr>
      <w:tr>
        <w:trPr>
          <w:tblHeader w:val="1"/>
        </w:trPr>
        <w:tc>
          <w:tcPr>
            <w:tcW w:w="2200" w:type="pct"/>
            <w:vAlign w:val="top"/>
            <w:noWrap/>
          </w:tcPr>
          <w:p>
            <w:pPr>
              <w:jc w:val="start"/>
            </w:pPr>
            <w:r>
              <w:rPr/>
              <w:t xml:space="preserve">1. Title of Security (Instr.       4)   </w:t>
            </w:r>
          </w:p>
        </w:tc>
        <w:tc>
          <w:tcPr>
            <w:tcW w:w="950" w:type="pct"/>
            <w:vAlign w:val="top"/>
            <w:noWrap/>
          </w:tcPr>
          <w:p>
            <w:pPr>
              <w:jc w:val="start"/>
            </w:pPr>
            <w:r>
              <w:rPr/>
              <w:t xml:space="preserve">2.       Amount of Securities Beneficially Owned (Instr.       4)   </w:t>
            </w:r>
          </w:p>
        </w:tc>
        <w:tc>
          <w:tcPr>
            <w:tcW w:w="550" w:type="pct"/>
            <w:vAlign w:val="top"/>
            <w:noWrap/>
          </w:tcPr>
          <w:p>
            <w:pPr>
              <w:jc w:val="start"/>
            </w:pPr>
            <w:r>
              <w:rPr/>
              <w:t xml:space="preserve">3. Ownership Form: Direct (D) or Indirect (I) (Instr.       5)   </w:t>
            </w:r>
          </w:p>
        </w:tc>
        <w:tc>
          <w:tcPr>
            <w:tcW w:w="1300" w:type="pct"/>
            <w:vAlign w:val="top"/>
            <w:noWrap/>
          </w:tcPr>
          <w:p>
            <w:pPr>
              <w:jc w:val="start"/>
            </w:pPr>
            <w:r>
              <w:rPr/>
              <w:t xml:space="preserve">4. Nature of Indirect Beneficial Ownership (Instr.       5)   </w:t>
            </w:r>
          </w:p>
        </w:tc>
      </w:tr>
      <w:tr>
        <w:trPr/>
        <w:tc>
          <w:tcPr>
            <w:tcW w:w="5000" w:type="pct"/>
            <w:noWrap/>
          </w:tcPr>
          <w:p>
            <w:pPr>
              <w:jc w:val="start"/>
            </w:pPr>
            <w:r>
              <w:rPr/>
              <w:t xml:space="preserve">Class A Common Stock</w:t>
            </w:r>
          </w:p>
        </w:tc>
        <w:tc>
          <w:tcPr>
            <w:tcW w:w="5000" w:type="pct"/>
            <w:noWrap/>
          </w:tcPr>
          <w:p>
            <w:pPr>
              <w:jc w:val="center"/>
            </w:pPr>
            <w:r>
              <w:rPr/>
              <w:t xml:space="preserve">23,579</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r>
              <w:rPr>
                <w:vertAlign w:val="superscript"/>
              </w:rPr>
              <w:t xml:space="preserve">(1)</w:t>
            </w:r>
          </w:p>
        </w:tc>
        <w:tc>
          <w:tcPr>
            <w:tcW w:w="5000" w:type="pct"/>
            <w:noWrap/>
          </w:tcPr>
          <w:p>
            <w:pPr>
              <w:jc w:val="center"/>
            </w:pPr>
            <w:r>
              <w:rPr/>
              <w:t xml:space="preserve">739</w:t>
            </w:r>
            <w:r>
              <w:rPr>
                <w:vertAlign w:val="superscript"/>
              </w:rPr>
              <w:t xml:space="preserve">(3)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r>
              <w:rPr>
                <w:vertAlign w:val="superscript"/>
              </w:rPr>
              <w:t xml:space="preserve">(1)</w:t>
            </w:r>
          </w:p>
        </w:tc>
        <w:tc>
          <w:tcPr>
            <w:tcW w:w="5000" w:type="pct"/>
            <w:noWrap/>
          </w:tcPr>
          <w:p>
            <w:pPr>
              <w:jc w:val="center"/>
            </w:pPr>
            <w:r>
              <w:rPr/>
              <w:t xml:space="preserve">215</w:t>
            </w:r>
            <w:r>
              <w:rPr>
                <w:vertAlign w:val="superscript"/>
              </w:rPr>
              <w:t xml:space="preserve">(3)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r>
              <w:rPr>
                <w:vertAlign w:val="superscript"/>
              </w:rPr>
              <w:t xml:space="preserve">(1)</w:t>
            </w:r>
          </w:p>
        </w:tc>
        <w:tc>
          <w:tcPr>
            <w:tcW w:w="5000" w:type="pct"/>
            <w:noWrap/>
          </w:tcPr>
          <w:p>
            <w:pPr>
              <w:jc w:val="center"/>
            </w:pPr>
            <w:r>
              <w:rPr/>
              <w:t xml:space="preserve">2,163</w:t>
            </w:r>
            <w:r>
              <w:rPr>
                <w:vertAlign w:val="superscript"/>
              </w:rPr>
              <w:t xml:space="preserve">(4)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r>
              <w:rPr>
                <w:vertAlign w:val="superscript"/>
              </w:rPr>
              <w:t xml:space="preserve">(1)</w:t>
            </w:r>
          </w:p>
        </w:tc>
        <w:tc>
          <w:tcPr>
            <w:tcW w:w="5000" w:type="pct"/>
            <w:noWrap/>
          </w:tcPr>
          <w:p>
            <w:pPr>
              <w:jc w:val="center"/>
            </w:pPr>
            <w:r>
              <w:rPr/>
              <w:t xml:space="preserve">4,203</w:t>
            </w:r>
            <w:r>
              <w:rPr>
                <w:vertAlign w:val="superscript"/>
              </w:rPr>
              <w:t xml:space="preserve">(5)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r>
              <w:rPr>
                <w:vertAlign w:val="superscript"/>
              </w:rPr>
              <w:t xml:space="preserve">(1)</w:t>
            </w:r>
          </w:p>
        </w:tc>
        <w:tc>
          <w:tcPr>
            <w:tcW w:w="5000" w:type="pct"/>
            <w:noWrap/>
          </w:tcPr>
          <w:p>
            <w:pPr>
              <w:jc w:val="center"/>
            </w:pPr>
            <w:r>
              <w:rPr/>
              <w:t xml:space="preserve">51,750</w:t>
            </w:r>
            <w:r>
              <w:rPr>
                <w:vertAlign w:val="superscript"/>
              </w:rPr>
              <w:t xml:space="preserve">(6)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r>
              <w:rPr>
                <w:vertAlign w:val="superscript"/>
              </w:rPr>
              <w:t xml:space="preserve">(1)</w:t>
            </w:r>
          </w:p>
        </w:tc>
        <w:tc>
          <w:tcPr>
            <w:tcW w:w="5000" w:type="pct"/>
            <w:noWrap/>
          </w:tcPr>
          <w:p>
            <w:pPr>
              <w:jc w:val="center"/>
            </w:pPr>
            <w:r>
              <w:rPr/>
              <w:t xml:space="preserve">57,434</w:t>
            </w:r>
            <w:r>
              <w:rPr>
                <w:vertAlign w:val="superscript"/>
              </w:rPr>
              <w:t xml:space="preserve">(7)</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8"/>
            <w:noWrap/>
          </w:tcPr>
          <w:p>
            <w:pPr>
              <w:jc w:val="center"/>
            </w:pPr>
            <w:r>
              <w:rPr>
                <w:b w:val="1"/>
                <w:bCs w:val="1"/>
              </w:rPr>
              <w:t xml:space="preserve">Table II - Derivative Securities Beneficially Owned</w:t>
            </w:r>
            <w:br/>
            <w:r>
              <w:rPr>
                <w:b w:val="1"/>
                <w:bCs w:val="1"/>
              </w:rPr>
              <w:t xml:space="preserve">(e.g., puts, calls, warrants, options, convertible securities)</w:t>
            </w:r>
          </w:p>
        </w:tc>
      </w:tr>
      <w:tr>
        <w:trPr>
          <w:tblHeader w:val="1"/>
        </w:trPr>
        <w:tc>
          <w:tcPr>
            <w:tcW w:w="1750" w:type="pct"/>
            <w:vAlign w:val="top"/>
            <w:noWrap/>
          </w:tcPr>
          <w:p>
            <w:pPr>
              <w:jc w:val="start"/>
            </w:pPr>
            <w:r>
              <w:rPr/>
              <w:t xml:space="preserve">1. Title of Derivative Security (Instr.       4)   </w:t>
            </w:r>
          </w:p>
        </w:tc>
        <w:tc>
          <w:tcPr>
            <w:tcW w:w="450" w:type="pct"/>
            <w:vAlign w:val="top"/>
            <w:gridSpan w:val="2"/>
            <w:noWrap/>
          </w:tcPr>
          <w:p>
            <w:pPr>
              <w:jc w:val="start"/>
            </w:pPr>
            <w:r>
              <w:rPr/>
              <w:t xml:space="preserve">2. Date Exercisable and Expiration Date       (Month/Day/Year)</w:t>
            </w:r>
          </w:p>
        </w:tc>
        <w:tc>
          <w:tcPr>
            <w:tcW w:w="1300" w:type="pct"/>
            <w:vAlign w:val="top"/>
            <w:gridSpan w:val="2"/>
            <w:noWrap/>
          </w:tcPr>
          <w:p>
            <w:pPr>
              <w:jc w:val="start"/>
            </w:pPr>
            <w:r>
              <w:rPr/>
              <w:t xml:space="preserve">3. Title and Amount of Securities Underlying Derivative Security (Instr.       4)   </w:t>
            </w:r>
          </w:p>
        </w:tc>
        <w:tc>
          <w:tcPr>
            <w:tcW w:w="350" w:type="pct"/>
            <w:vAlign w:val="top"/>
            <w:noWrap/>
          </w:tcPr>
          <w:p>
            <w:pPr>
              <w:jc w:val="start"/>
            </w:pPr>
            <w:r>
              <w:rPr/>
              <w:t xml:space="preserve">4. Conversion or Exercise Price of Derivative Security   </w:t>
            </w:r>
          </w:p>
        </w:tc>
        <w:tc>
          <w:tcPr>
            <w:tcW w:w="400" w:type="pct"/>
            <w:vAlign w:val="top"/>
            <w:noWrap/>
          </w:tcPr>
          <w:p>
            <w:pPr>
              <w:jc w:val="start"/>
            </w:pPr>
            <w:r>
              <w:rPr/>
              <w:t xml:space="preserve">5. Ownership Form: Direct (D) or Indirect (I) (Instr.       5)   </w:t>
            </w:r>
          </w:p>
        </w:tc>
        <w:tc>
          <w:tcPr>
            <w:tcW w:w="750" w:type="pct"/>
            <w:vAlign w:val="top"/>
            <w:noWrap/>
          </w:tcPr>
          <w:p>
            <w:pPr>
              <w:jc w:val="start"/>
            </w:pPr>
            <w:r>
              <w:rPr/>
              <w:t xml:space="preserve">6. Nature of Indirect Beneficial Ownership (Instr.       5)   </w:t>
            </w:r>
          </w:p>
        </w:tc>
      </w:tr>
      <w:tr>
        <w:trPr>
          <w:tblHeader w:val="1"/>
        </w:trPr>
        <w:tc>
          <w:tcPr>
            <w:tcW w:w="200" w:type="pct"/>
            <w:vAlign w:val="bottom"/>
            <w:noWrap/>
          </w:tcPr>
          <w:p>
            <w:pPr>
              <w:jc w:val="center"/>
            </w:pPr>
            <w:r>
              <w:rPr/>
              <w:t xml:space="preserve">Date Exercisable</w:t>
            </w:r>
          </w:p>
        </w:tc>
        <w:tc>
          <w:tcPr>
            <w:tcW w:w="250" w:type="pct"/>
            <w:vAlign w:val="bottom"/>
            <w:noWrap/>
          </w:tcPr>
          <w:p>
            <w:pPr>
              <w:jc w:val="center"/>
            </w:pPr>
            <w:r>
              <w:rPr/>
              <w:t xml:space="preserve">Expiration Date</w:t>
            </w:r>
          </w:p>
        </w:tc>
        <w:tc>
          <w:tcPr>
            <w:tcW w:w="1000" w:type="pct"/>
            <w:vAlign w:val="bottom"/>
            <w:noWrap/>
          </w:tcPr>
          <w:p>
            <w:pPr>
              <w:jc w:val="center"/>
            </w:pPr>
            <w:r>
              <w:rPr/>
              <w:t xml:space="preserve">Title</w:t>
            </w:r>
          </w:p>
        </w:tc>
        <w:tc>
          <w:tcPr>
            <w:tcW w:w="30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                            </w:t>
            </w:r>
            <w:r>
              <w:rPr>
                <w:vertAlign w:val="superscript"/>
              </w:rPr>
              <w:t xml:space="preserve">(8)</w:t>
            </w:r>
          </w:p>
        </w:tc>
        <w:tc>
          <w:tcPr>
            <w:tcW w:w="5000" w:type="pct"/>
            <w:noWrap/>
          </w:tcPr>
          <w:p>
            <w:pPr>
              <w:jc w:val="center"/>
            </w:pPr>
            <w:r>
              <w:rPr/>
              <w:t xml:space="preserve">03/09/2031</w:t>
            </w:r>
          </w:p>
        </w:tc>
        <w:tc>
          <w:tcPr>
            <w:tcW w:w="5000" w:type="pct"/>
            <w:noWrap/>
          </w:tcPr>
          <w:p>
            <w:pPr>
              <w:jc w:val="center"/>
            </w:pPr>
            <w:r>
              <w:rPr/>
              <w:t xml:space="preserve">Class A Common Stock</w:t>
            </w:r>
          </w:p>
        </w:tc>
        <w:tc>
          <w:tcPr>
            <w:tcW w:w="5000" w:type="pct"/>
            <w:noWrap/>
          </w:tcPr>
          <w:p>
            <w:pPr>
              <w:jc w:val="center"/>
            </w:pPr>
            <w:r>
              <w:rPr/>
              <w:t xml:space="preserve">6,519</w:t>
            </w:r>
          </w:p>
        </w:tc>
        <w:tc>
          <w:tcPr>
            <w:tcW w:w="5000" w:type="pct"/>
            <w:noWrap/>
          </w:tcPr>
          <w:p>
            <w:pPr>
              <w:jc w:val="center"/>
            </w:pPr>
            <w:r>
              <w:rPr/>
              <w:t xml:space="preserve">$</w:t>
            </w:r>
            <w:r>
              <w:rPr/>
              <w:t xml:space="preserve">15.63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                            </w:t>
            </w:r>
            <w:r>
              <w:rPr>
                <w:vertAlign w:val="superscript"/>
              </w:rPr>
              <w:t xml:space="preserve">(9)</w:t>
            </w:r>
          </w:p>
        </w:tc>
        <w:tc>
          <w:tcPr>
            <w:tcW w:w="5000" w:type="pct"/>
            <w:noWrap/>
          </w:tcPr>
          <w:p>
            <w:pPr>
              <w:jc w:val="center"/>
            </w:pPr>
            <w:r>
              <w:rPr/>
              <w:t xml:space="preserve">07/16/2031</w:t>
            </w:r>
          </w:p>
        </w:tc>
        <w:tc>
          <w:tcPr>
            <w:tcW w:w="5000" w:type="pct"/>
            <w:noWrap/>
          </w:tcPr>
          <w:p>
            <w:pPr>
              <w:jc w:val="center"/>
            </w:pPr>
            <w:r>
              <w:rPr/>
              <w:t xml:space="preserve">Class A Common Stock</w:t>
            </w:r>
          </w:p>
        </w:tc>
        <w:tc>
          <w:tcPr>
            <w:tcW w:w="5000" w:type="pct"/>
            <w:noWrap/>
          </w:tcPr>
          <w:p>
            <w:pPr>
              <w:jc w:val="center"/>
            </w:pPr>
            <w:r>
              <w:rPr/>
              <w:t xml:space="preserve">32,559</w:t>
            </w:r>
          </w:p>
        </w:tc>
        <w:tc>
          <w:tcPr>
            <w:tcW w:w="5000" w:type="pct"/>
            <w:noWrap/>
          </w:tcPr>
          <w:p>
            <w:pPr>
              <w:jc w:val="center"/>
            </w:pPr>
            <w:r>
              <w:rPr/>
              <w:t xml:space="preserve">$</w:t>
            </w:r>
            <w:r>
              <w:rPr/>
              <w:t xml:space="preserve">14.45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                            </w:t>
            </w:r>
            <w:r>
              <w:rPr>
                <w:vertAlign w:val="superscript"/>
              </w:rPr>
              <w:t xml:space="preserve">(10)</w:t>
            </w:r>
          </w:p>
        </w:tc>
        <w:tc>
          <w:tcPr>
            <w:tcW w:w="5000" w:type="pct"/>
            <w:noWrap/>
          </w:tcPr>
          <w:p>
            <w:pPr>
              <w:jc w:val="center"/>
            </w:pPr>
            <w:r>
              <w:rPr/>
              <w:t xml:space="preserve">03/01/2032</w:t>
            </w:r>
          </w:p>
        </w:tc>
        <w:tc>
          <w:tcPr>
            <w:tcW w:w="5000" w:type="pct"/>
            <w:noWrap/>
          </w:tcPr>
          <w:p>
            <w:pPr>
              <w:jc w:val="center"/>
            </w:pPr>
            <w:r>
              <w:rPr/>
              <w:t xml:space="preserve">Class A Common Stock</w:t>
            </w:r>
          </w:p>
        </w:tc>
        <w:tc>
          <w:tcPr>
            <w:tcW w:w="5000" w:type="pct"/>
            <w:noWrap/>
          </w:tcPr>
          <w:p>
            <w:pPr>
              <w:jc w:val="center"/>
            </w:pPr>
            <w:r>
              <w:rPr/>
              <w:t xml:space="preserve">19,935</w:t>
            </w:r>
          </w:p>
        </w:tc>
        <w:tc>
          <w:tcPr>
            <w:tcW w:w="5000" w:type="pct"/>
            <w:noWrap/>
          </w:tcPr>
          <w:p>
            <w:pPr>
              <w:jc w:val="center"/>
            </w:pPr>
            <w:r>
              <w:rPr/>
              <w:t xml:space="preserve">$</w:t>
            </w:r>
            <w:r>
              <w:rPr/>
              <w:t xml:space="preserve">8.03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                            </w:t>
            </w:r>
            <w:r>
              <w:rPr>
                <w:vertAlign w:val="superscript"/>
              </w:rPr>
              <w:t xml:space="preserve">(11)</w:t>
            </w:r>
          </w:p>
        </w:tc>
        <w:tc>
          <w:tcPr>
            <w:tcW w:w="5000" w:type="pct"/>
            <w:noWrap/>
          </w:tcPr>
          <w:p>
            <w:pPr>
              <w:jc w:val="center"/>
            </w:pPr>
            <w:r>
              <w:rPr/>
              <w:t xml:space="preserve">03/15/2033</w:t>
            </w:r>
          </w:p>
        </w:tc>
        <w:tc>
          <w:tcPr>
            <w:tcW w:w="5000" w:type="pct"/>
            <w:noWrap/>
          </w:tcPr>
          <w:p>
            <w:pPr>
              <w:jc w:val="center"/>
            </w:pPr>
            <w:r>
              <w:rPr/>
              <w:t xml:space="preserve">Class A Common Stock</w:t>
            </w:r>
          </w:p>
        </w:tc>
        <w:tc>
          <w:tcPr>
            <w:tcW w:w="5000" w:type="pct"/>
            <w:noWrap/>
          </w:tcPr>
          <w:p>
            <w:pPr>
              <w:jc w:val="center"/>
            </w:pPr>
            <w:r>
              <w:rPr/>
              <w:t xml:space="preserve">81,000</w:t>
            </w:r>
          </w:p>
        </w:tc>
        <w:tc>
          <w:tcPr>
            <w:tcW w:w="5000" w:type="pct"/>
            <w:noWrap/>
          </w:tcPr>
          <w:p>
            <w:pPr>
              <w:jc w:val="center"/>
            </w:pPr>
            <w:r>
              <w:rPr/>
              <w:t xml:space="preserve">$</w:t>
            </w:r>
            <w:r>
              <w:rPr/>
              <w:t xml:space="preserve">2.51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                            </w:t>
            </w:r>
            <w:r>
              <w:rPr>
                <w:vertAlign w:val="superscript"/>
              </w:rPr>
              <w:t xml:space="preserve">(12)</w:t>
            </w:r>
          </w:p>
        </w:tc>
        <w:tc>
          <w:tcPr>
            <w:tcW w:w="5000" w:type="pct"/>
            <w:noWrap/>
          </w:tcPr>
          <w:p>
            <w:pPr>
              <w:jc w:val="center"/>
            </w:pPr>
            <w:r>
              <w:rPr/>
              <w:t xml:space="preserve">02/21/2034</w:t>
            </w:r>
          </w:p>
        </w:tc>
        <w:tc>
          <w:tcPr>
            <w:tcW w:w="5000" w:type="pct"/>
            <w:noWrap/>
          </w:tcPr>
          <w:p>
            <w:pPr>
              <w:jc w:val="center"/>
            </w:pPr>
            <w:r>
              <w:rPr/>
              <w:t xml:space="preserve">Class A Common Stock</w:t>
            </w:r>
          </w:p>
        </w:tc>
        <w:tc>
          <w:tcPr>
            <w:tcW w:w="5000" w:type="pct"/>
            <w:noWrap/>
          </w:tcPr>
          <w:p>
            <w:pPr>
              <w:jc w:val="center"/>
            </w:pPr>
            <w:r>
              <w:rPr/>
              <w:t xml:space="preserve">103,842</w:t>
            </w:r>
          </w:p>
        </w:tc>
        <w:tc>
          <w:tcPr>
            <w:tcW w:w="5000" w:type="pct"/>
            <w:noWrap/>
          </w:tcPr>
          <w:p>
            <w:pPr>
              <w:jc w:val="center"/>
            </w:pPr>
            <w:r>
              <w:rPr/>
              <w:t xml:space="preserve">$</w:t>
            </w:r>
            <w:r>
              <w:rPr/>
              <w:t xml:space="preserve">3.43</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w:t>
            </w:r>
          </w:p>
        </w:tc>
      </w:tr>
      <w:tr>
        <w:trPr/>
        <w:tc>
          <w:tcPr>
            <w:tcW w:w="5000" w:type="pct"/>
            <w:noWrap/>
          </w:tcPr>
          <w:p>
            <w:pPr/>
            <w:r>
              <w:rPr/>
              <w:t xml:space="preserve">2. Represents shares of Class A Common Stock of Organogenesis pursuant to vested RSUs under the 2018 Equity Incentive Plan.</w:t>
            </w:r>
          </w:p>
        </w:tc>
      </w:tr>
      <w:tr>
        <w:trPr/>
        <w:tc>
          <w:tcPr>
            <w:tcW w:w="5000" w:type="pct"/>
            <w:noWrap/>
          </w:tcPr>
          <w:p>
            <w:pPr/>
            <w:r>
              <w:rPr/>
              <w:t xml:space="preserve">3. The RSUs vest in equal annual installments over four years beginning March 9, 2021, and shall become fully vested on March 9, 2025.</w:t>
            </w:r>
          </w:p>
        </w:tc>
      </w:tr>
      <w:tr>
        <w:trPr/>
        <w:tc>
          <w:tcPr>
            <w:tcW w:w="5000" w:type="pct"/>
            <w:noWrap/>
          </w:tcPr>
          <w:p>
            <w:pPr/>
            <w:r>
              <w:rPr/>
              <w:t xml:space="preserve">4. The RSUs vest in equal annual installments over four years beginning July 16, 2021, and shall become fully vested on July 16, 2025.</w:t>
            </w:r>
          </w:p>
        </w:tc>
      </w:tr>
      <w:tr>
        <w:trPr/>
        <w:tc>
          <w:tcPr>
            <w:tcW w:w="5000" w:type="pct"/>
            <w:noWrap/>
          </w:tcPr>
          <w:p>
            <w:pPr/>
            <w:r>
              <w:rPr/>
              <w:t xml:space="preserve">5. The RSUs vest in equal annual installments over four years beginning March 1, 2022, and shall become fully vested on March 1, 2026.</w:t>
            </w:r>
          </w:p>
        </w:tc>
      </w:tr>
      <w:tr>
        <w:trPr/>
        <w:tc>
          <w:tcPr>
            <w:tcW w:w="5000" w:type="pct"/>
            <w:noWrap/>
          </w:tcPr>
          <w:p>
            <w:pPr/>
            <w:r>
              <w:rPr/>
              <w:t xml:space="preserve">6. The RSUs vest in equal annual installments over four years beginning February 15, 2023, and shall become fully vested on February 15, 2027.</w:t>
            </w:r>
          </w:p>
        </w:tc>
      </w:tr>
      <w:tr>
        <w:trPr/>
        <w:tc>
          <w:tcPr>
            <w:tcW w:w="5000" w:type="pct"/>
            <w:noWrap/>
          </w:tcPr>
          <w:p>
            <w:pPr/>
            <w:r>
              <w:rPr/>
              <w:t xml:space="preserve">7. The RSUs vest in equal annual installments over four years beginning February 15, 2024, and shall become fully vested on February 15, 2028.</w:t>
            </w:r>
          </w:p>
        </w:tc>
      </w:tr>
      <w:tr>
        <w:trPr/>
        <w:tc>
          <w:tcPr>
            <w:tcW w:w="5000" w:type="pct"/>
            <w:noWrap/>
          </w:tcPr>
          <w:p>
            <w:pPr/>
            <w:r>
              <w:rPr/>
              <w:t xml:space="preserve">8. The option becomes exercisable in equal annual installments over four years beginning March 9, 2021, and shall become fully vested and exercisable on March 9, 2025.</w:t>
            </w:r>
          </w:p>
        </w:tc>
      </w:tr>
      <w:tr>
        <w:trPr/>
        <w:tc>
          <w:tcPr>
            <w:tcW w:w="5000" w:type="pct"/>
            <w:noWrap/>
          </w:tcPr>
          <w:p>
            <w:pPr/>
            <w:r>
              <w:rPr/>
              <w:t xml:space="preserve">9. The option becomes exercisable in equal annual installments over four years beginning July 16, 2021, and shall become fully vested and exercisable on July 16, 2025.</w:t>
            </w:r>
          </w:p>
        </w:tc>
      </w:tr>
      <w:tr>
        <w:trPr/>
        <w:tc>
          <w:tcPr>
            <w:tcW w:w="5000" w:type="pct"/>
            <w:noWrap/>
          </w:tcPr>
          <w:p>
            <w:pPr/>
            <w:r>
              <w:rPr/>
              <w:t xml:space="preserve">10. The option becomes exercisable in equal annual installments over four years beginning March 1, 2022, and shall become fully vested and exercisable on March 1, 2026.</w:t>
            </w:r>
          </w:p>
        </w:tc>
      </w:tr>
      <w:tr>
        <w:trPr/>
        <w:tc>
          <w:tcPr>
            <w:tcW w:w="5000" w:type="pct"/>
            <w:noWrap/>
          </w:tcPr>
          <w:p>
            <w:pPr/>
            <w:r>
              <w:rPr/>
              <w:t xml:space="preserve">11. The option becomes exercisable in equal annual installments over four years beginning February 15, 2023, and shall become fully vested and exercisable on February 15, 2027.</w:t>
            </w:r>
          </w:p>
        </w:tc>
      </w:tr>
      <w:tr>
        <w:trPr/>
        <w:tc>
          <w:tcPr>
            <w:tcW w:w="5000" w:type="pct"/>
            <w:noWrap/>
          </w:tcPr>
          <w:p>
            <w:pPr/>
            <w:r>
              <w:rPr/>
              <w:t xml:space="preserve">12. The option becomes exercisable in equal annual installments over four years beginning February 15, 2024, and shall become fully vested and exercisable on February 15, 2028.</w:t>
            </w:r>
          </w:p>
        </w:tc>
      </w:tr>
      <w:tr>
        <w:trPr/>
        <w:tc>
          <w:tcPr>
            <w:tcW w:w="5000" w:type="pct"/>
            <w:noWrap/>
          </w:tcPr>
          <w:p>
            <w:pPr/>
            <w:r>
              <w:rPr>
                <w:b w:val="1"/>
                <w:bCs w:val="1"/>
              </w:rPr>
              <w:t xml:space="preserve">Remarks:</w:t>
            </w:r>
          </w:p>
        </w:tc>
      </w:tr>
      <w:tr>
        <w:trPr/>
        <w:tc>
          <w:tcPr>
            <w:tcW w:w="5000" w:type="pct"/>
            <w:noWrap/>
          </w:tcPr>
          <w:p>
            <w:pPr/>
            <w:r>
              <w:rPr/>
              <w:t xml:space="preserve">Exhibit 24 Power of Attorney filed herewith.</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04/29/2024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5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02098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2026-08-07T06:17:14-04:00</dcterms:created>
  <dcterms:modified xsi:type="dcterms:W3CDTF">2026-08-07T06:17:14-04:00</dcterms:modified>
</cp:coreProperties>
</file>

<file path=docProps/custom.xml><?xml version="1.0" encoding="utf-8"?>
<Properties xmlns="http://schemas.openxmlformats.org/officeDocument/2006/custom-properties" xmlns:vt="http://schemas.openxmlformats.org/officeDocument/2006/docPropsVTypes"/>
</file>