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 Form 3    </w:t>
      </w:r>
    </w:p>
    <w:tbl>
      <w:tblGrid>
        <w:gridCol w:w="1000" w:type="dxa"/>
        <w:gridCol w:w="3000" w:type="dxa"/>
        <w:gridCol w:w="1000" w:type="dxa"/>
      </w:tblGrid>
      <w:tblPr>
        <w:tblW w:w="5000" w:type="pct"/>
        <w:tblCellSpacing w:w="0" w:type="dxa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1000" w:type="pct"/>
            <w:vAlign w:val="top"/>
            <w:gridSpan w:val="2"/>
            <w:noWrap/>
          </w:tcPr>
          <w:p>
            <w:pPr>
              <w:jc w:val="center"/>
            </w:pPr>
            <w:r>
              <w:rPr/>
              <w:t xml:space="preserve">FORM 3</w:t>
            </w:r>
          </w:p>
        </w:tc>
        <w:tc>
          <w:tcPr>
            <w:tcW w:w="3000" w:type="pct"/>
            <w:vAlign w:val="center"/>
            <w:noWrap/>
          </w:tcPr>
          <w:p>
            <w:pPr>
              <w:jc w:val="center"/>
            </w:pPr>
            <w:r>
              <w:rPr/>
              <w:t xml:space="preserve">UNITED STATES SECURITIES AND EXCHANGE COMMISSION</w:t>
            </w:r>
            <w:br/>
            <w:r>
              <w:rPr/>
              <w:t xml:space="preserve">Washington, D.C. 20549</w:t>
            </w:r>
            <w:br/>
            <w:br/>
            <w:r>
              <w:rPr/>
              <w:t xml:space="preserve">INITIAL STATEMENT OF BENEFICIAL OWNERSHIP OF SECURITIES</w:t>
            </w:r>
            <w:br/>
            <w:br/>
            <w:r>
              <w:rPr/>
              <w:t xml:space="preserve">Filed pursuant to Section 16(a) of the Securities Exchange Act of 1934</w:t>
            </w:r>
            <w:br/>
            <w:r>
              <w:rPr/>
              <w:t xml:space="preserve">or Section 30(h) of the Investment Company Act of 1940</w:t>
            </w:r>
          </w:p>
        </w:tc>
        <w:tc>
          <w:tcPr>
            <w:tcW w:w="1000" w:type="pct"/>
            <w:vAlign w:val="top"/>
            <w:noWrap/>
          </w:tcPr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OMB APPROVAL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tbl>
                  <w:tblGrid>
                    <w:gridCol w:w="5000" w:type="dxa"/>
                    <w:gridCol w:w="5000" w:type="dxa"/>
                  </w:tblGrid>
                  <w:tblPr>
                    <w:tblW w:w="5000" w:type="pct"/>
                    <w:tblLayout w:type="autofit"/>
                    <w:tblBorders>
                      <w:top w:val="single" w:sz="0"/>
                      <w:left w:val="single" w:sz="0"/>
                      <w:right w:val="single" w:sz="0"/>
                      <w:bottom w:val="single" w:sz="0"/>
                      <w:insideH w:val="single" w:sz="0"/>
                      <w:insideV w:val="single" w:sz="0"/>
                    </w:tblBorders>
                  </w:tblP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OMB Number: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3235-0104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4"/>
                        <w:noWrap/>
                      </w:tcPr>
                      <w:p>
                        <w:pPr/>
                        <w:r>
                          <w:rPr/>
                          <w:t xml:space="preserve">Estimated average burden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hours per response: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0.5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</w:tbl>
    <w:tbl>
      <w:tblGrid>
        <w:gridCol w:w="1500" w:type="dxa"/>
        <w:gridCol w:w="75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500" w:type="pct"/>
            <w:vAlign w:val="top"/>
            <w:noWrap/>
          </w:tcPr>
          <w:p>
            <w:pPr/>
            <w:r>
              <w:rPr/>
              <w:t xml:space="preserve">1. Name and Address of Reporting Person</w:t>
            </w:r>
          </w:p>
          <w:p>
            <w:pPr/>
            <w:r>
              <w:rPr>
                <w:vertAlign w:val="superscript"/>
              </w:rPr>
              <w:t xml:space="preserve">*</w:t>
            </w:r>
          </w:p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hyperlink r:id="rId7" w:history="1">
                    <w:r>
                      <w:rPr/>
                      <w:t xml:space="preserve">O'Neil Robert P</w:t>
                    </w:r>
                  </w:hyperlink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(Last)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(First)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(Middle)</w:t>
                  </w:r>
                </w:p>
              </w:tc>
            </w:tr>
          </w:tbl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C/O AVISTA HEALTHCARE PUBLIC ACQUISITION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CORP.  65 EAST 55TH STREET, 18TH FLOOR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p>
            <w:pPr/>
            <w:r>
              <w:rPr/>
              <w:t xml:space="preserve">(Street)</w:t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NEW YORK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NY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10022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(City)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(State)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(Zip)</w:t>
                  </w:r>
                </w:p>
              </w:tc>
            </w:tr>
          </w:tbl>
          <w:p/>
        </w:tc>
        <w:tc>
          <w:tcPr>
            <w:tcW w:w="750" w:type="pct"/>
            <w:vAlign w:val="top"/>
            <w:noWrap/>
          </w:tcPr>
          <w:p>
            <w:pPr/>
            <w:r>
              <w:rPr/>
              <w:t xml:space="preserve">2. Date of Event Requiring Statement         (Month/Day/Year)</w:t>
            </w:r>
            <w:br/>
            <w:r>
              <w:rPr/>
              <w:t xml:space="preserve">10/07/2016</w:t>
            </w:r>
          </w:p>
        </w:tc>
        <w:tc>
          <w:tcPr>
            <w:tcW w:w="5000" w:type="pct"/>
            <w:vAlign w:val="top"/>
            <w:gridSpan w:val="2"/>
            <w:noWrap/>
          </w:tcPr>
          <w:p>
            <w:pPr/>
            <w:r>
              <w:rPr/>
              <w:t xml:space="preserve">3. Issuer Name </w:t>
            </w:r>
            <w:r>
              <w:rPr>
                <w:b w:val="1"/>
                <w:bCs w:val="1"/>
              </w:rPr>
              <w:t xml:space="preserve">and</w:t>
            </w:r>
            <w:r>
              <w:rPr/>
              <w:t xml:space="preserve"> Ticker or Trading Symbol      </w:t>
            </w:r>
            <w:br/>
            <w:hyperlink r:id="rId8" w:history="1">
              <w:r>
                <w:rPr/>
                <w:t xml:space="preserve">Avista Healthcare Public Acquisition Corp.</w:t>
              </w:r>
            </w:hyperlink>
            <w:r>
              <w:rPr/>
              <w:t xml:space="preserve">     [ </w:t>
            </w:r>
            <w:r>
              <w:rPr/>
              <w:t xml:space="preserve">AHPA</w:t>
            </w:r>
            <w:r>
              <w:rPr/>
              <w:t xml:space="preserve"> ]   </w:t>
            </w:r>
          </w:p>
        </w:tc>
      </w:tr>
      <w:tr>
        <w:trPr/>
        <w:tc>
          <w:tcPr>
            <w:tcW w:w="1500" w:type="pct"/>
            <w:vAlign w:val="top"/>
            <w:noWrap/>
          </w:tcPr>
          <w:p>
            <w:pPr/>
            <w:r>
              <w:rPr/>
              <w:t xml:space="preserve">4. Relationship of Reporting Person(s) to Issuer      </w:t>
            </w:r>
          </w:p>
          <w:p/>
          <w:p>
            <w:pPr/>
            <w:r>
              <w:rPr/>
              <w:t xml:space="preserve">(Check all applicable)</w:t>
            </w:r>
          </w:p>
          <w:tbl>
            <w:tblGrid>
              <w:gridCol w:w="750" w:type="dxa"/>
              <w:gridCol w:w="1750" w:type="dxa"/>
              <w:gridCol w:w="750" w:type="dxa"/>
              <w:gridCol w:w="17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Director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10% Owner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Officer (give title below)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Other (specify below)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</w:tr>
          </w:tbl>
          <w:p/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5. If Amendment, Date of Original Filed         (Month/Day/Year)</w:t>
            </w:r>
            <w:br/>
          </w:p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6. Individual or Joint/Group Filing (Check Applicable Line)      </w:t>
            </w:r>
          </w:p>
          <w:tbl>
            <w:tblGrid>
              <w:gridCol w:w="750" w:type="dxa"/>
              <w:gridCol w:w="42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One Reporting Person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More than One Reporting Person</w:t>
                  </w:r>
                </w:p>
              </w:tc>
            </w:tr>
          </w:tbl>
          <w:p/>
        </w:tc>
      </w:tr>
    </w:tbl>
    <w:tbl>
      <w:tblGrid>
        <w:gridCol w:w="2200" w:type="dxa"/>
        <w:gridCol w:w="950" w:type="dxa"/>
        <w:gridCol w:w="550" w:type="dxa"/>
        <w:gridCol w:w="13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4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 - Non-Derivative Securities Beneficially Owned</w:t>
            </w:r>
          </w:p>
        </w:tc>
      </w:tr>
      <w:tr>
        <w:trPr>
          <w:tblHeader w:val="1"/>
        </w:trPr>
        <w:tc>
          <w:tcPr>
            <w:tcW w:w="220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Security (Instr.       4)   </w:t>
            </w:r>
          </w:p>
        </w:tc>
        <w:tc>
          <w:tcPr>
            <w:tcW w:w="950" w:type="pct"/>
            <w:vAlign w:val="top"/>
            <w:noWrap/>
          </w:tcPr>
          <w:p>
            <w:pPr>
              <w:jc w:val="start"/>
            </w:pPr>
            <w:r>
              <w:rPr/>
              <w:t xml:space="preserve">2.       Amount of Securities Beneficially Owned (Instr.       4)   </w:t>
            </w:r>
          </w:p>
        </w:tc>
        <w:tc>
          <w:tcPr>
            <w:tcW w:w="550" w:type="pct"/>
            <w:vAlign w:val="top"/>
            <w:noWrap/>
          </w:tcPr>
          <w:p>
            <w:pPr>
              <w:jc w:val="start"/>
            </w:pPr>
            <w:r>
              <w:rPr/>
              <w:t xml:space="preserve">3. Ownership Form: Direct (D) or Indirect (I) (Instr.       5)   </w:t>
            </w:r>
          </w:p>
        </w:tc>
        <w:tc>
          <w:tcPr>
            <w:tcW w:w="1300" w:type="pct"/>
            <w:vAlign w:val="top"/>
            <w:noWrap/>
          </w:tcPr>
          <w:p>
            <w:pPr>
              <w:jc w:val="start"/>
            </w:pPr>
            <w:r>
              <w:rPr/>
              <w:t xml:space="preserve">4. Nature of Indirect Beneficial Ownership (Instr.       5)   </w:t>
            </w:r>
          </w:p>
        </w:tc>
      </w:tr>
    </w:tbl>
    <w:tbl>
      <w:tblGrid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8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II - Derivative Securities Beneficially Owned</w:t>
            </w:r>
            <w:br/>
            <w:r>
              <w:rPr>
                <w:b w:val="1"/>
                <w:bCs w:val="1"/>
              </w:rPr>
              <w:t xml:space="preserve">(e.g., puts, calls, warrants, options, convertible securities)</w:t>
            </w:r>
          </w:p>
        </w:tc>
      </w:tr>
      <w:tr>
        <w:trPr>
          <w:tblHeader w:val="1"/>
        </w:trPr>
        <w:tc>
          <w:tcPr>
            <w:tcW w:w="175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Derivative Security (Instr.       4)   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2. Date Exercisable and Expiration Date       (Month/Day/Year)</w:t>
            </w:r>
          </w:p>
        </w:tc>
        <w:tc>
          <w:tcPr>
            <w:tcW w:w="130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3. Title and Amount of Securities Underlying Derivative Security (Instr.       4)   </w:t>
            </w:r>
          </w:p>
        </w:tc>
        <w:tc>
          <w:tcPr>
            <w:tcW w:w="350" w:type="pct"/>
            <w:vAlign w:val="top"/>
            <w:noWrap/>
          </w:tcPr>
          <w:p>
            <w:pPr>
              <w:jc w:val="start"/>
            </w:pPr>
            <w:r>
              <w:rPr/>
              <w:t xml:space="preserve">4. Conversion or Exercise Price of Derivative Security   </w:t>
            </w:r>
          </w:p>
        </w:tc>
        <w:tc>
          <w:tcPr>
            <w:tcW w:w="400" w:type="pct"/>
            <w:vAlign w:val="top"/>
            <w:noWrap/>
          </w:tcPr>
          <w:p>
            <w:pPr>
              <w:jc w:val="start"/>
            </w:pPr>
            <w:r>
              <w:rPr/>
              <w:t xml:space="preserve">5. Ownership Form: Direct (D) or Indirect (I) (Instr.       5)   </w:t>
            </w:r>
          </w:p>
        </w:tc>
        <w:tc>
          <w:tcPr>
            <w:tcW w:w="750" w:type="pct"/>
            <w:vAlign w:val="top"/>
            <w:noWrap/>
          </w:tcPr>
          <w:p>
            <w:pPr>
              <w:jc w:val="start"/>
            </w:pPr>
            <w:r>
              <w:rPr/>
              <w:t xml:space="preserve">6. Nature of Indirect Beneficial Ownership (Instr.       5)   </w:t>
            </w:r>
          </w:p>
        </w:tc>
      </w:tr>
      <w:tr>
        <w:trPr>
          <w:tblHeader w:val="1"/>
        </w:trPr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Date Exercisable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Expiration Date</w:t>
            </w:r>
          </w:p>
        </w:tc>
        <w:tc>
          <w:tcPr>
            <w:tcW w:w="1000" w:type="pct"/>
            <w:vAlign w:val="bottom"/>
            <w:noWrap/>
          </w:tcPr>
          <w:p>
            <w:pPr>
              <w:jc w:val="center"/>
            </w:pPr>
            <w:r>
              <w:rPr/>
              <w:t xml:space="preserve">Title</w:t>
            </w:r>
          </w:p>
        </w:tc>
        <w:tc>
          <w:tcPr>
            <w:tcW w:w="300" w:type="pct"/>
            <w:vAlign w:val="bottom"/>
            <w:noWrap/>
          </w:tcPr>
          <w:p>
            <w:pPr>
              <w:jc w:val="center"/>
            </w:pPr>
            <w:r>
              <w:rPr/>
              <w:t xml:space="preserve">Amount or Number of Shares</w:t>
            </w: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B Ordinary Shares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                            </w:t>
            </w:r>
            <w:r>
              <w:rPr>
                <w:vertAlign w:val="superscript"/>
              </w:rPr>
              <w:t xml:space="preserve">(1)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                            </w:t>
            </w:r>
            <w:r>
              <w:rPr>
                <w:vertAlign w:val="superscript"/>
              </w:rPr>
              <w:t xml:space="preserve">(1)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Class A Ordinary Shares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471,250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>
                <w:vertAlign w:val="superscript"/>
              </w:rPr>
              <w:t xml:space="preserve">(1)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</w:tbl>
    <w:tbl>
      <w:tblGrid>
        <w:gridCol w:w="5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Explanation of Responses:</w:t>
            </w:r>
          </w:p>
        </w:tc>
      </w:tr>
      <w:tr>
        <w:trPr/>
        <w:tc>
          <w:tcPr>
            <w:tcW w:w="5000" w:type="pct"/>
            <w:noWrap/>
          </w:tcPr>
          <w:p>
            <w:pPr/>
            <w:r>
              <w:rPr/>
              <w:t xml:space="preserve">1. The reporting person holds an aggregate of 471,250 Class B ordinary shares, par value $0.0001 per share (the "Class B Shares"), including 56,250 shares that are subject to forfeiture if the underwriters of the Issuer's initial public offering do not exercise in full an option granted to them to cover over-allotment. Pursuant to the Amended and Restated Memorandum and Articles of Association (the "Articles") of the Issuer, such Class B Shares will automatically convert into Class A ordinary shares, par value $0.0001 per share, of the Issuer at the time of the Issuer's Business Combination, as defined in the Articles, on a one-for-one basis, subject to adjustment, and have no expiration date.</w:t>
            </w:r>
          </w:p>
        </w:tc>
      </w:t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Remarks:</w:t>
            </w:r>
          </w:p>
        </w:tc>
      </w:tr>
      <w:tr>
        <w:trPr/>
        <w:tc>
          <w:tcPr>
            <w:tcW w:w="5000" w:type="pct"/>
            <w:noWrap/>
          </w:tcPr>
          <w:p>
            <w:pPr/>
            <w:r>
              <w:rPr/>
              <w:t xml:space="preserve">See Exhibit 24.1 - Power of Attorney, incorporated herein by reference.</w:t>
            </w:r>
          </w:p>
        </w:tc>
      </w:tr>
    </w:tbl>
    <w:tbl>
      <w:tblGrid>
        <w:gridCol w:w="3000" w:type="dxa"/>
        <w:gridCol w:w="1000" w:type="dxa"/>
        <w:gridCol w:w="1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000" w:type="pct"/>
            <w:noWrap/>
          </w:tcPr>
          <w:p>
            <w:pPr/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/s/ Benjamin Silbert, Attorney-in-Fact</w:t>
            </w:r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10/07/2016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  <w:tc>
          <w:tcPr>
            <w:tcW w:w="5000" w:type="pct"/>
            <w:noWrap/>
          </w:tcPr>
          <w:p>
            <w:pPr/>
            <w:r>
              <w:rPr/>
              <w:t xml:space="preserve">** Signature of Reporting Person</w:t>
            </w:r>
          </w:p>
        </w:tc>
        <w:tc>
          <w:tcPr>
            <w:tcW w:w="5000" w:type="pct"/>
            <w:noWrap/>
          </w:tcPr>
          <w:p>
            <w:pPr/>
            <w:r>
              <w:rPr/>
              <w:t xml:space="preserve">Date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Reminder: Report on a separate line for each class of securities beneficially owned directly or indirectly.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 If the form is filed by more than one reporting person,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                  5                  (b)(v).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** Intentional misstatements or omissions of facts constitute Federal Criminal Violations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18 U.S.C. 1001 and 15 U.S.C. 78ff(a).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Note: File three copies of this Form, one of which must be manually signed. If space is insufficient,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6 for procedure.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Persons who respond to the collection of information contained in this form are not required to respond unless the form displays a currently valid OMB Number.</w:t>
            </w:r>
          </w:p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1685002" TargetMode="External"/><Relationship Id="rId8" Type="http://schemas.openxmlformats.org/officeDocument/2006/relationships/hyperlink" Target="/cgi-bin/browse-edgar?action=getcompany&amp;CIK=00016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2026-08-08T03:41:11-04:00</dcterms:created>
  <dcterms:modified xsi:type="dcterms:W3CDTF">2026-08-08T03:41:11-04:00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