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12/10/2018</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r>
        <w:trPr/>
        <w:tc>
          <w:tcPr>
            <w:tcW w:w="5000" w:type="pct"/>
            <w:noWrap/>
          </w:tcPr>
          <w:p>
            <w:pPr>
              <w:jc w:val="start"/>
            </w:pPr>
            <w:r>
              <w:rPr/>
              <w:t xml:space="preserve">Class A Common Stock</w:t>
            </w:r>
          </w:p>
        </w:tc>
        <w:tc>
          <w:tcPr>
            <w:tcW w:w="5000" w:type="pct"/>
            <w:noWrap/>
          </w:tcPr>
          <w:p>
            <w:pPr>
              <w:jc w:val="center"/>
            </w:pPr>
            <w:r>
              <w:rPr/>
              <w:t xml:space="preserve">9,022,741</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(2)</w:t>
            </w:r>
            <w:r>
              <w:rPr>
                <w:vertAlign w:val="superscript"/>
              </w:rPr>
              <w:t xml:space="preserve">(5)</w:t>
            </w:r>
            <w:r>
              <w:rPr>
                <w:vertAlign w:val="superscript"/>
              </w:rPr>
              <w:t xml:space="preserve">(6)</w:t>
            </w:r>
          </w:p>
        </w:tc>
      </w:tr>
    </w:tbl>
    <w:tbl>
      <w:tblGrid>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r>
        <w:trPr/>
        <w:tc>
          <w:tcPr>
            <w:tcW w:w="5000" w:type="pct"/>
            <w:noWrap/>
          </w:tcPr>
          <w:p>
            <w:pPr>
              <w:jc w:val="start"/>
            </w:pPr>
            <w:r>
              <w:rPr/>
              <w:t xml:space="preserve">Warrants</w:t>
            </w:r>
          </w:p>
        </w:tc>
        <w:tc>
          <w:tcPr>
            <w:tcW w:w="5000" w:type="pct"/>
            <w:noWrap/>
          </w:tcPr>
          <w:p>
            <w:pPr>
              <w:jc w:val="center"/>
            </w:pPr>
            <w:r>
              <w:rPr/>
              <w:t xml:space="preserve">01/09/2019</w:t>
            </w:r>
          </w:p>
        </w:tc>
        <w:tc>
          <w:tcPr>
            <w:tcW w:w="5000" w:type="pct"/>
            <w:noWrap/>
          </w:tcPr>
          <w:p>
            <w:pPr>
              <w:jc w:val="center"/>
            </w:pPr>
            <w:r>
              <w:rPr/>
              <w:t xml:space="preserve">12/10/2023</w:t>
            </w:r>
          </w:p>
        </w:tc>
        <w:tc>
          <w:tcPr>
            <w:tcW w:w="5000" w:type="pct"/>
            <w:noWrap/>
          </w:tcPr>
          <w:p>
            <w:pPr>
              <w:jc w:val="center"/>
            </w:pPr>
            <w:r>
              <w:rPr/>
              <w:t xml:space="preserve">Class A common stock</w:t>
            </w:r>
          </w:p>
        </w:tc>
        <w:tc>
          <w:tcPr>
            <w:tcW w:w="5000" w:type="pct"/>
            <w:noWrap/>
          </w:tcPr>
          <w:p>
            <w:pPr>
              <w:jc w:val="center"/>
            </w:pPr>
            <w:r>
              <w:rPr/>
              <w:t xml:space="preserve">2,050,000</w:t>
            </w:r>
            <w:r>
              <w:rPr>
                <w:vertAlign w:val="superscript"/>
              </w:rPr>
              <w:t xml:space="preserve">(3)</w:t>
            </w:r>
          </w:p>
        </w:tc>
        <w:tc>
          <w:tcPr>
            <w:tcW w:w="5000" w:type="pct"/>
            <w:noWrap/>
          </w:tcPr>
          <w:p>
            <w:pPr>
              <w:jc w:val="center"/>
            </w:pPr>
            <w:r>
              <w:rPr>
                <w:vertAlign w:val="superscript"/>
              </w:rPr>
              <w:t xml:space="preserve">(4)</w:t>
            </w:r>
          </w:p>
        </w:tc>
        <w:tc>
          <w:tcPr>
            <w:tcW w:w="5000" w:type="pct"/>
            <w:noWrap/>
          </w:tcPr>
          <w:p>
            <w:pPr>
              <w:jc w:val="center"/>
            </w:pPr>
            <w:r>
              <w:rPr/>
              <w:t xml:space="preserve">I</w:t>
            </w:r>
          </w:p>
        </w:tc>
        <w:tc>
          <w:tcPr>
            <w:tcW w:w="5000" w:type="pct"/>
            <w:noWrap/>
          </w:tcPr>
          <w:p>
            <w:pPr>
              <w:jc w:val="start"/>
            </w:pPr>
            <w:r>
              <w:rPr/>
              <w:t xml:space="preserve">See Notes</w:t>
            </w:r>
            <w:r>
              <w:rPr>
                <w:vertAlign w:val="superscript"/>
              </w:rPr>
              <w:t xml:space="preserve">(1)</w:t>
            </w:r>
            <w:r>
              <w:rPr>
                <w:vertAlign w:val="superscript"/>
              </w:rPr>
              <w:t xml:space="preserve">(3)</w:t>
            </w:r>
            <w:r>
              <w:rPr>
                <w:vertAlign w:val="superscript"/>
              </w:rPr>
              <w:t xml:space="preserve">(5)</w:t>
            </w:r>
            <w:r>
              <w:rPr>
                <w:vertAlign w:val="superscript"/>
              </w:rPr>
              <w:t xml:space="preserve">(6)</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Avista Capital Managing Member IV,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HEALTHCARE PUBLIC ACQUISITION</w:t>
                  </w:r>
                </w:p>
              </w:tc>
            </w:tr>
            <w:tr>
              <w:trPr/>
              <w:tc>
                <w:tcPr>
                  <w:tcW w:w="5000" w:type="pct"/>
                  <w:vAlign w:val="top"/>
                  <w:noWrap/>
                </w:tcPr>
                <w:p>
                  <w:pPr/>
                  <w:r>
                    <w:rPr/>
                    <w:t xml:space="preserve">CORP., 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Avista Capital Partners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Avista Capital Partners (Offshore) IV,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Avista Capital Partners IV GP, L.P.</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AVISTA CAPITAL PARTNERS</w:t>
                  </w:r>
                </w:p>
              </w:tc>
            </w:tr>
            <w:tr>
              <w:trPr/>
              <w:tc>
                <w:tcPr>
                  <w:tcW w:w="5000" w:type="pct"/>
                  <w:vAlign w:val="top"/>
                  <w:noWrap/>
                </w:tcPr>
                <w:p>
                  <w:pPr/>
                  <w:r>
                    <w:rPr/>
                    <w:t xml:space="preserve">65 EAST 55TH STREET, 18TH FLOOR</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NEW YORK</w:t>
                  </w:r>
                </w:p>
              </w:tc>
              <w:tc>
                <w:tcPr>
                  <w:tcW w:w="1650" w:type="pct"/>
                  <w:vAlign w:val="top"/>
                  <w:noWrap/>
                </w:tcPr>
                <w:p>
                  <w:pPr/>
                  <w:r>
                    <w:rPr/>
                    <w:t xml:space="preserve">NY</w:t>
                  </w:r>
                </w:p>
              </w:tc>
              <w:tc>
                <w:tcPr>
                  <w:tcW w:w="1650" w:type="pct"/>
                  <w:vAlign w:val="top"/>
                  <w:noWrap/>
                </w:tcPr>
                <w:p>
                  <w:pPr/>
                  <w:r>
                    <w:rPr/>
                    <w:t xml:space="preserve">10022</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statement is being filed by the following Reporting Persons: Avista Capital Partners IV, L.P. ("Fund IV"), Avista Capital Partners (Offshore) IV, L.P. ("Offshore Fund IV"), Avista Capital Partners IV GP, L.P. ("Fund IV GP"), which is the general partner of Fund IV and Offshore Fund IV; and Avista Capital Managing Member IV, LLC ("Fund IV GP Managing Member"), which is the general partner of Fund IV GP.</w:t>
            </w:r>
          </w:p>
        </w:tc>
      </w:tr>
      <w:tr>
        <w:trPr/>
        <w:tc>
          <w:tcPr>
            <w:tcW w:w="5000" w:type="pct"/>
            <w:noWrap/>
          </w:tcPr>
          <w:p>
            <w:pPr/>
            <w:r>
              <w:rPr/>
              <w:t xml:space="preserve">2. Represents 4,523,497 shares of Class A common stock owned directly by Fund IV and 4,499,244 shares of Class A common stock owned directly by Offshore Fund IV, in each case, following the completion of a private placement by Avista Healthcare Public Acquisition Corp. (the "Issuer").</w:t>
            </w:r>
          </w:p>
        </w:tc>
      </w:tr>
      <w:tr>
        <w:trPr/>
        <w:tc>
          <w:tcPr>
            <w:tcW w:w="5000" w:type="pct"/>
            <w:noWrap/>
          </w:tcPr>
          <w:p>
            <w:pPr/>
            <w:r>
              <w:rPr/>
              <w:t xml:space="preserve">3. Represents 2,055,510 warrants to purchase 1,027,755 shares of Class A common stock owned directly by Fund IV and 2,044,490 warrants to purchase 1,022,245 shares of Class A common stock owned directly by Offshore Fund IV, in each case, following the completion of a private placement by the Issuer.</w:t>
            </w:r>
          </w:p>
        </w:tc>
      </w:tr>
      <w:tr>
        <w:trPr/>
        <w:tc>
          <w:tcPr>
            <w:tcW w:w="5000" w:type="pct"/>
            <w:noWrap/>
          </w:tcPr>
          <w:p>
            <w:pPr/>
            <w:r>
              <w:rPr/>
              <w:t xml:space="preserve">4. Each warrant entitles the holder to purchase from the Issuer the number of shares of Class A common stock at the price of $5.75 per half-share (or $11.50 per whole share), subject to adjustments.</w:t>
            </w:r>
          </w:p>
        </w:tc>
      </w:tr>
      <w:tr>
        <w:trPr/>
        <w:tc>
          <w:tcPr>
            <w:tcW w:w="5000" w:type="pct"/>
            <w:noWrap/>
          </w:tcPr>
          <w:p>
            <w:pPr/>
            <w:r>
              <w:rPr/>
              <w:t xml:space="preserve">5.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
            </w:r>
          </w:p>
        </w:tc>
      </w:tr>
      <w:tr>
        <w:trPr/>
        <w:tc>
          <w:tcPr>
            <w:tcW w:w="5000" w:type="pct"/>
            <w:noWrap/>
          </w:tcPr>
          <w:p>
            <w:pPr/>
            <w:r>
              <w:rPr/>
              <w:t xml:space="preserve">6.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
            </w:r>
          </w:p>
        </w:tc>
      </w:tr>
      <w:tr>
        <w:trPr/>
        <w:tc>
          <w:tcPr>
            <w:tcW w:w="5000" w:type="pct"/>
            <w:noWrap/>
          </w:tcPr>
          <w:p>
            <w:pPr/>
            <w:r>
              <w:rPr>
                <w:b w:val="1"/>
                <w:bCs w:val="1"/>
              </w:rPr>
              <w:t xml:space="preserve">Remarks:</w:t>
            </w:r>
          </w:p>
        </w:tc>
      </w:tr>
      <w:tr>
        <w:trPr/>
        <w:tc>
          <w:tcPr>
            <w:tcW w:w="5000" w:type="pct"/>
            <w:noWrap/>
          </w:tcPr>
          <w:p>
            <w:pPr/>
            <w:r>
              <w:rPr/>
              <w:t xml:space="preserve">See Exhibit 99.1, Joint Filer information incorporated herein by reference. In connection with the closing a business combination, the Issuer's name was changed to Organogenesis Holdings Inc.</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See Exhibit 99.1 for Signatures</w:t>
            </w:r>
          </w:p>
        </w:tc>
        <w:tc>
          <w:tcPr>
            <w:tcW w:w="1000" w:type="pct"/>
            <w:noWrap/>
          </w:tcPr>
          <w:p>
            <w:pPr/>
            <w:r>
              <w:rPr>
                <w:u w:val="single"/>
              </w:rPr>
              <w:t xml:space="preserve">12/12/2018</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6117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64176" TargetMode="External"/><Relationship Id="rId10" Type="http://schemas.openxmlformats.org/officeDocument/2006/relationships/hyperlink" Target="/cgi-bin/browse-edgar?action=getcompany&amp;CIK=0001664173" TargetMode="External"/><Relationship Id="rId11" Type="http://schemas.openxmlformats.org/officeDocument/2006/relationships/hyperlink" Target="/cgi-bin/browse-edgar?action=getcompany&amp;CIK=0001761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2026-08-08T03:40:12-04:00</dcterms:created>
  <dcterms:modified xsi:type="dcterms:W3CDTF">2026-08-08T03:40:12-04:00</dcterms:modified>
</cp:coreProperties>
</file>

<file path=docProps/custom.xml><?xml version="1.0" encoding="utf-8"?>
<Properties xmlns="http://schemas.openxmlformats.org/officeDocument/2006/custom-properties" xmlns:vt="http://schemas.openxmlformats.org/officeDocument/2006/docPropsVTypes"/>
</file>