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3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3</w:t>
            </w:r>
          </w:p>
        </w:tc>
        <w:tc>
          <w:tcPr>
            <w:tcW w:w="3000" w:type="pct"/>
            <w:vAlign w:val="center"/>
            <w:noWrap/>
          </w:tcPr>
          <w:p>
            <w:pPr>
              <w:jc w:val="center"/>
            </w:pPr>
            <w:r>
              <w:rPr/>
              <w:t xml:space="preserve">UNITED STATES SECURITIES AND EXCHANGE COMMISSION</w:t>
            </w:r>
            <w:br/>
            <w:r>
              <w:rPr/>
              <w:t xml:space="preserve">Washington, D.C. 20549</w:t>
            </w:r>
            <w:br/>
            <w:br/>
            <w:r>
              <w:rPr/>
              <w:t xml:space="preserve">INITIAL STATEMENT OF BENEFICIAL OWNERSHIP OF SECURITIES</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3235-0104</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bl>
    <w:tbl>
      <w:tblGrid>
        <w:gridCol w:w="1500" w:type="dxa"/>
        <w:gridCol w:w="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5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750" w:type="pct"/>
            <w:vAlign w:val="top"/>
            <w:noWrap/>
          </w:tcPr>
          <w:p>
            <w:pPr/>
            <w:r>
              <w:rPr/>
              <w:t xml:space="preserve">2. Date of Event Requiring Statement         (Month/Day/Year)</w:t>
            </w:r>
            <w:br/>
            <w:r>
              <w:rPr/>
              <w:t xml:space="preserve">12/10/2018</w:t>
            </w:r>
          </w:p>
        </w:tc>
        <w:tc>
          <w:tcPr>
            <w:tcW w:w="5000" w:type="pct"/>
            <w:vAlign w:val="top"/>
            <w:gridSpan w:val="2"/>
            <w:noWrap/>
          </w:tcPr>
          <w:p>
            <w:pPr/>
            <w:r>
              <w:rPr/>
              <w:t xml:space="preserve">3.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r>
      <w:tr>
        <w:trPr/>
        <w:tc>
          <w:tcPr>
            <w:tcW w:w="1500" w:type="pct"/>
            <w:vAlign w:val="top"/>
            <w:noWrap/>
          </w:tcPr>
          <w:p>
            <w:pPr/>
            <w:r>
              <w:rPr/>
              <w:t xml:space="preserve">4.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c>
          <w:tcPr>
            <w:tcW w:w="5000" w:type="pct"/>
            <w:vAlign w:val="top"/>
            <w:noWrap/>
          </w:tcPr>
          <w:p>
            <w:pPr/>
            <w:r>
              <w:rPr/>
              <w:t xml:space="preserve">5. If Amendment, Date of Original Filed         (Month/Day/Year)</w:t>
            </w:r>
            <w:br/>
          </w:p>
        </w:tc>
      </w:tr>
      <w:tr>
        <w:trPr/>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2200" w:type="dxa"/>
        <w:gridCol w:w="950" w:type="dxa"/>
        <w:gridCol w:w="550" w:type="dxa"/>
        <w:gridCol w:w="13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4"/>
            <w:noWrap/>
          </w:tcPr>
          <w:p>
            <w:pPr>
              <w:jc w:val="center"/>
            </w:pPr>
            <w:r>
              <w:rPr>
                <w:b w:val="1"/>
                <w:bCs w:val="1"/>
              </w:rPr>
              <w:t xml:space="preserve">Table I - Non-Derivative Securities Beneficially Owned</w:t>
            </w:r>
          </w:p>
        </w:tc>
      </w:tr>
      <w:tr>
        <w:trPr>
          <w:tblHeader w:val="1"/>
        </w:trPr>
        <w:tc>
          <w:tcPr>
            <w:tcW w:w="2200" w:type="pct"/>
            <w:vAlign w:val="top"/>
            <w:noWrap/>
          </w:tcPr>
          <w:p>
            <w:pPr>
              <w:jc w:val="start"/>
            </w:pPr>
            <w:r>
              <w:rPr/>
              <w:t xml:space="preserve">1. Title of Security (Instr.       4)   </w:t>
            </w:r>
          </w:p>
        </w:tc>
        <w:tc>
          <w:tcPr>
            <w:tcW w:w="950" w:type="pct"/>
            <w:vAlign w:val="top"/>
            <w:noWrap/>
          </w:tcPr>
          <w:p>
            <w:pPr>
              <w:jc w:val="start"/>
            </w:pPr>
            <w:r>
              <w:rPr/>
              <w:t xml:space="preserve">2.       Amount of Securities Beneficially Owned (Instr.       4)   </w:t>
            </w:r>
          </w:p>
        </w:tc>
        <w:tc>
          <w:tcPr>
            <w:tcW w:w="550" w:type="pct"/>
            <w:vAlign w:val="top"/>
            <w:noWrap/>
          </w:tcPr>
          <w:p>
            <w:pPr>
              <w:jc w:val="start"/>
            </w:pPr>
            <w:r>
              <w:rPr/>
              <w:t xml:space="preserve">3. Ownership Form: Direct (D) or Indirect (I) (Instr.       5)   </w:t>
            </w:r>
          </w:p>
        </w:tc>
        <w:tc>
          <w:tcPr>
            <w:tcW w:w="1300" w:type="pct"/>
            <w:vAlign w:val="top"/>
            <w:noWrap/>
          </w:tcPr>
          <w:p>
            <w:pPr>
              <w:jc w:val="start"/>
            </w:pPr>
            <w:r>
              <w:rPr/>
              <w:t xml:space="preserve">4. Nature of Indirect Beneficial Ownership (Instr.       5)   </w:t>
            </w:r>
          </w:p>
        </w:tc>
      </w:tr>
      <w:tr>
        <w:trPr/>
        <w:tc>
          <w:tcPr>
            <w:tcW w:w="5000" w:type="pct"/>
            <w:noWrap/>
          </w:tcPr>
          <w:p>
            <w:pPr>
              <w:jc w:val="start"/>
            </w:pPr>
            <w:r>
              <w:rPr/>
              <w:t xml:space="preserve">Common Stock</w:t>
            </w:r>
          </w:p>
        </w:tc>
        <w:tc>
          <w:tcPr>
            <w:tcW w:w="5000" w:type="pct"/>
            <w:noWrap/>
          </w:tcPr>
          <w:p>
            <w:pPr>
              <w:jc w:val="center"/>
            </w:pPr>
            <w:r>
              <w:rPr/>
              <w:t xml:space="preserve">1,710,552</w:t>
            </w:r>
          </w:p>
        </w:tc>
        <w:tc>
          <w:tcPr>
            <w:tcW w:w="5000" w:type="pct"/>
            <w:noWrap/>
          </w:tcPr>
          <w:p>
            <w:pPr>
              <w:jc w:val="center"/>
            </w:pPr>
            <w:r>
              <w:rPr/>
              <w:t xml:space="preserve">D</w:t>
            </w:r>
            <w:r>
              <w:rPr>
                <w:vertAlign w:val="superscript"/>
              </w:rPr>
              <w:t xml:space="preserve">(1)</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154,612</w:t>
            </w:r>
          </w:p>
        </w:tc>
        <w:tc>
          <w:tcPr>
            <w:tcW w:w="5000" w:type="pct"/>
            <w:noWrap/>
          </w:tcPr>
          <w:p>
            <w:pPr>
              <w:jc w:val="center"/>
            </w:pPr>
            <w:r>
              <w:rPr/>
              <w:t xml:space="preserve">D</w:t>
            </w:r>
            <w:r>
              <w:rPr>
                <w:vertAlign w:val="superscript"/>
              </w:rPr>
              <w:t xml:space="preserve">(2)</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670,071</w:t>
            </w:r>
          </w:p>
        </w:tc>
        <w:tc>
          <w:tcPr>
            <w:tcW w:w="5000" w:type="pct"/>
            <w:noWrap/>
          </w:tcPr>
          <w:p>
            <w:pPr>
              <w:jc w:val="center"/>
            </w:pPr>
            <w:r>
              <w:rPr/>
              <w:t xml:space="preserve">D</w:t>
            </w:r>
            <w:r>
              <w:rPr>
                <w:vertAlign w:val="superscript"/>
              </w:rPr>
              <w:t xml:space="preserve">(3)</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1,380,138</w:t>
            </w:r>
          </w:p>
        </w:tc>
        <w:tc>
          <w:tcPr>
            <w:tcW w:w="5000" w:type="pct"/>
            <w:noWrap/>
          </w:tcPr>
          <w:p>
            <w:pPr>
              <w:jc w:val="center"/>
            </w:pPr>
            <w:r>
              <w:rPr/>
              <w:t xml:space="preserve">D</w:t>
            </w:r>
            <w:r>
              <w:rPr>
                <w:vertAlign w:val="superscript"/>
              </w:rPr>
              <w:t xml:space="preserve">(4)</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111,484</w:t>
            </w:r>
          </w:p>
        </w:tc>
        <w:tc>
          <w:tcPr>
            <w:tcW w:w="5000" w:type="pct"/>
            <w:noWrap/>
          </w:tcPr>
          <w:p>
            <w:pPr>
              <w:jc w:val="center"/>
            </w:pPr>
            <w:r>
              <w:rPr/>
              <w:t xml:space="preserve">D</w:t>
            </w:r>
            <w:r>
              <w:rPr>
                <w:vertAlign w:val="superscript"/>
              </w:rPr>
              <w:t xml:space="preserve">(5)</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2,475,822</w:t>
            </w:r>
          </w:p>
        </w:tc>
        <w:tc>
          <w:tcPr>
            <w:tcW w:w="5000" w:type="pct"/>
            <w:noWrap/>
          </w:tcPr>
          <w:p>
            <w:pPr>
              <w:jc w:val="center"/>
            </w:pPr>
            <w:r>
              <w:rPr/>
              <w:t xml:space="preserve">D</w:t>
            </w:r>
            <w:r>
              <w:rPr>
                <w:vertAlign w:val="superscript"/>
              </w:rPr>
              <w:t xml:space="preserve">(6)</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653,452</w:t>
            </w:r>
          </w:p>
        </w:tc>
        <w:tc>
          <w:tcPr>
            <w:tcW w:w="5000" w:type="pct"/>
            <w:noWrap/>
          </w:tcPr>
          <w:p>
            <w:pPr>
              <w:jc w:val="center"/>
            </w:pPr>
            <w:r>
              <w:rPr/>
              <w:t xml:space="preserve">D</w:t>
            </w:r>
            <w:r>
              <w:rPr>
                <w:vertAlign w:val="superscript"/>
              </w:rPr>
              <w:t xml:space="preserve">(3)</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30,754,500</w:t>
            </w:r>
          </w:p>
        </w:tc>
        <w:tc>
          <w:tcPr>
            <w:tcW w:w="5000" w:type="pct"/>
            <w:noWrap/>
          </w:tcPr>
          <w:p>
            <w:pPr>
              <w:jc w:val="center"/>
            </w:pPr>
            <w:r>
              <w:rPr/>
              <w:t xml:space="preserve">D</w:t>
            </w:r>
            <w:r>
              <w:rPr>
                <w:vertAlign w:val="superscript"/>
              </w:rPr>
              <w:t xml:space="preserve">(4)</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2,740,500</w:t>
            </w:r>
          </w:p>
        </w:tc>
        <w:tc>
          <w:tcPr>
            <w:tcW w:w="5000" w:type="pct"/>
            <w:noWrap/>
          </w:tcPr>
          <w:p>
            <w:pPr>
              <w:jc w:val="center"/>
            </w:pPr>
            <w:r>
              <w:rPr/>
              <w:t xml:space="preserve">D</w:t>
            </w:r>
            <w:r>
              <w:rPr>
                <w:vertAlign w:val="superscript"/>
              </w:rPr>
              <w:t xml:space="preserve">(5)</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1,489,779</w:t>
            </w:r>
          </w:p>
        </w:tc>
        <w:tc>
          <w:tcPr>
            <w:tcW w:w="5000" w:type="pct"/>
            <w:noWrap/>
          </w:tcPr>
          <w:p>
            <w:pPr>
              <w:jc w:val="center"/>
            </w:pPr>
            <w:r>
              <w:rPr/>
              <w:t xml:space="preserve">D</w:t>
            </w:r>
            <w:r>
              <w:rPr>
                <w:vertAlign w:val="superscript"/>
              </w:rPr>
              <w:t xml:space="preserve">(7)</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2,731,199</w:t>
            </w:r>
          </w:p>
        </w:tc>
        <w:tc>
          <w:tcPr>
            <w:tcW w:w="5000" w:type="pct"/>
            <w:noWrap/>
          </w:tcPr>
          <w:p>
            <w:pPr>
              <w:jc w:val="center"/>
            </w:pPr>
            <w:r>
              <w:rPr/>
              <w:t xml:space="preserve">D</w:t>
            </w:r>
            <w:r>
              <w:rPr>
                <w:vertAlign w:val="superscript"/>
              </w:rPr>
              <w:t xml:space="preserve">(8)</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2,964,131</w:t>
            </w:r>
          </w:p>
        </w:tc>
        <w:tc>
          <w:tcPr>
            <w:tcW w:w="5000" w:type="pct"/>
            <w:noWrap/>
          </w:tcPr>
          <w:p>
            <w:pPr>
              <w:jc w:val="center"/>
            </w:pPr>
            <w:r>
              <w:rPr/>
              <w:t xml:space="preserve">D</w:t>
            </w:r>
            <w:r>
              <w:rPr>
                <w:vertAlign w:val="superscript"/>
              </w:rPr>
              <w:t xml:space="preserve">(9)</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1,167,250</w:t>
            </w:r>
          </w:p>
        </w:tc>
        <w:tc>
          <w:tcPr>
            <w:tcW w:w="5000" w:type="pct"/>
            <w:noWrap/>
          </w:tcPr>
          <w:p>
            <w:pPr>
              <w:jc w:val="center"/>
            </w:pPr>
            <w:r>
              <w:rPr/>
              <w:t xml:space="preserve">D</w:t>
            </w:r>
            <w:r>
              <w:rPr>
                <w:vertAlign w:val="superscript"/>
              </w:rPr>
              <w:t xml:space="preserve">(10)</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11,012,750</w:t>
            </w:r>
          </w:p>
        </w:tc>
        <w:tc>
          <w:tcPr>
            <w:tcW w:w="5000" w:type="pct"/>
            <w:noWrap/>
          </w:tcPr>
          <w:p>
            <w:pPr>
              <w:jc w:val="center"/>
            </w:pPr>
            <w:r>
              <w:rPr/>
              <w:t xml:space="preserve">D</w:t>
            </w:r>
            <w:r>
              <w:rPr>
                <w:vertAlign w:val="superscript"/>
              </w:rPr>
              <w:t xml:space="preserve">(11)</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586,297</w:t>
            </w:r>
          </w:p>
        </w:tc>
        <w:tc>
          <w:tcPr>
            <w:tcW w:w="5000" w:type="pct"/>
            <w:noWrap/>
          </w:tcPr>
          <w:p>
            <w:pPr>
              <w:jc w:val="center"/>
            </w:pPr>
            <w:r>
              <w:rPr/>
              <w:t xml:space="preserve">D</w:t>
            </w:r>
            <w:r>
              <w:rPr>
                <w:vertAlign w:val="superscript"/>
              </w:rPr>
              <w:t xml:space="preserve">(12)</w:t>
            </w:r>
          </w:p>
        </w:tc>
        <w:tc>
          <w:tcPr>
            <w:tcW w:w="5000" w:type="pct"/>
            <w:noWrap/>
          </w:tcPr>
          <w:p>
            <w:pPr>
              <w:jc w:val="start"/>
            </w:pPr>
          </w:p>
        </w:tc>
      </w:tr>
    </w:tbl>
    <w:tbl>
      <w:tblGrid>
        <w:gridCol w:w="1750" w:type="dxa"/>
        <w:gridCol w:w="450" w:type="dxa"/>
        <w:gridCol w:w="1300" w:type="dxa"/>
        <w:gridCol w:w="350" w:type="dxa"/>
        <w:gridCol w:w="400" w:type="dxa"/>
        <w:gridCol w:w="7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8"/>
            <w:noWrap/>
          </w:tcPr>
          <w:p>
            <w:pPr>
              <w:jc w:val="center"/>
            </w:pPr>
            <w:r>
              <w:rPr>
                <w:b w:val="1"/>
                <w:bCs w:val="1"/>
              </w:rPr>
              <w:t xml:space="preserve">Table II - Derivative Securities Beneficially Owned</w:t>
            </w:r>
            <w:br/>
            <w:r>
              <w:rPr>
                <w:b w:val="1"/>
                <w:bCs w:val="1"/>
              </w:rPr>
              <w:t xml:space="preserve">(e.g., puts, calls, warrants, options, convertible securities)</w:t>
            </w:r>
          </w:p>
        </w:tc>
      </w:tr>
      <w:tr>
        <w:trPr>
          <w:tblHeader w:val="1"/>
        </w:trPr>
        <w:tc>
          <w:tcPr>
            <w:tcW w:w="1750" w:type="pct"/>
            <w:vAlign w:val="top"/>
            <w:noWrap/>
          </w:tcPr>
          <w:p>
            <w:pPr>
              <w:jc w:val="start"/>
            </w:pPr>
            <w:r>
              <w:rPr/>
              <w:t xml:space="preserve">1. Title of Derivative Security (Instr.       4)   </w:t>
            </w:r>
          </w:p>
        </w:tc>
        <w:tc>
          <w:tcPr>
            <w:tcW w:w="450" w:type="pct"/>
            <w:vAlign w:val="top"/>
            <w:gridSpan w:val="2"/>
            <w:noWrap/>
          </w:tcPr>
          <w:p>
            <w:pPr>
              <w:jc w:val="start"/>
            </w:pPr>
            <w:r>
              <w:rPr/>
              <w:t xml:space="preserve">2. Date Exercisable and Expiration Date       (Month/Day/Year)</w:t>
            </w:r>
          </w:p>
        </w:tc>
        <w:tc>
          <w:tcPr>
            <w:tcW w:w="1300" w:type="pct"/>
            <w:vAlign w:val="top"/>
            <w:gridSpan w:val="2"/>
            <w:noWrap/>
          </w:tcPr>
          <w:p>
            <w:pPr>
              <w:jc w:val="start"/>
            </w:pPr>
            <w:r>
              <w:rPr/>
              <w:t xml:space="preserve">3. Title and Amount of Securities Underlying Derivative Security (Instr.       4)   </w:t>
            </w:r>
          </w:p>
        </w:tc>
        <w:tc>
          <w:tcPr>
            <w:tcW w:w="350" w:type="pct"/>
            <w:vAlign w:val="top"/>
            <w:noWrap/>
          </w:tcPr>
          <w:p>
            <w:pPr>
              <w:jc w:val="start"/>
            </w:pPr>
            <w:r>
              <w:rPr/>
              <w:t xml:space="preserve">4. Conversion or Exercise Price of Derivative Security   </w:t>
            </w:r>
          </w:p>
        </w:tc>
        <w:tc>
          <w:tcPr>
            <w:tcW w:w="400" w:type="pct"/>
            <w:vAlign w:val="top"/>
            <w:noWrap/>
          </w:tcPr>
          <w:p>
            <w:pPr>
              <w:jc w:val="start"/>
            </w:pPr>
            <w:r>
              <w:rPr/>
              <w:t xml:space="preserve">5. Ownership Form: Direct (D) or Indirect (I) (Instr.       5)   </w:t>
            </w:r>
          </w:p>
        </w:tc>
        <w:tc>
          <w:tcPr>
            <w:tcW w:w="750" w:type="pct"/>
            <w:vAlign w:val="top"/>
            <w:noWrap/>
          </w:tcPr>
          <w:p>
            <w:pPr>
              <w:jc w:val="start"/>
            </w:pPr>
            <w:r>
              <w:rPr/>
              <w:t xml:space="preserve">6. Nature of Indirect Beneficial Ownership (Instr.       5)   </w:t>
            </w:r>
          </w:p>
        </w:tc>
      </w:tr>
      <w:tr>
        <w:trPr>
          <w:tblHeader w:val="1"/>
        </w:trPr>
        <w:tc>
          <w:tcPr>
            <w:tcW w:w="200" w:type="pct"/>
            <w:vAlign w:val="bottom"/>
            <w:noWrap/>
          </w:tcPr>
          <w:p>
            <w:pPr>
              <w:jc w:val="center"/>
            </w:pPr>
            <w:r>
              <w:rPr/>
              <w:t xml:space="preserve">Date Exercisable</w:t>
            </w:r>
          </w:p>
        </w:tc>
        <w:tc>
          <w:tcPr>
            <w:tcW w:w="250" w:type="pct"/>
            <w:vAlign w:val="bottom"/>
            <w:noWrap/>
          </w:tcPr>
          <w:p>
            <w:pPr>
              <w:jc w:val="center"/>
            </w:pPr>
            <w:r>
              <w:rPr/>
              <w:t xml:space="preserve">Expiration Date</w:t>
            </w:r>
          </w:p>
        </w:tc>
        <w:tc>
          <w:tcPr>
            <w:tcW w:w="1000" w:type="pct"/>
            <w:vAlign w:val="bottom"/>
            <w:noWrap/>
          </w:tcPr>
          <w:p>
            <w:pPr>
              <w:jc w:val="center"/>
            </w:pPr>
            <w:r>
              <w:rPr/>
              <w:t xml:space="preserve">Title</w:t>
            </w:r>
          </w:p>
        </w:tc>
        <w:tc>
          <w:tcPr>
            <w:tcW w:w="30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reported securities are held directly by Alan A. Ades, who is a member of the Group (as defined below).</w:t>
            </w:r>
          </w:p>
        </w:tc>
      </w:tr>
      <w:tr>
        <w:trPr/>
        <w:tc>
          <w:tcPr>
            <w:tcW w:w="5000" w:type="pct"/>
            <w:noWrap/>
          </w:tcPr>
          <w:p>
            <w:pPr/>
            <w:r>
              <w:rPr/>
              <w:t xml:space="preserve">2. The reported securities are held directly by Albert Erani, who is a member of the Group.</w:t>
            </w:r>
          </w:p>
        </w:tc>
      </w:tr>
      <w:tr>
        <w:trPr/>
        <w:tc>
          <w:tcPr>
            <w:tcW w:w="5000" w:type="pct"/>
            <w:noWrap/>
          </w:tcPr>
          <w:p>
            <w:pPr/>
            <w:r>
              <w:rPr/>
              <w:t xml:space="preserve">3. The reported securities are held directly by Dennis Erani, who is a member of the Group.</w:t>
            </w:r>
          </w:p>
        </w:tc>
      </w:tr>
      <w:tr>
        <w:trPr/>
        <w:tc>
          <w:tcPr>
            <w:tcW w:w="5000" w:type="pct"/>
            <w:noWrap/>
          </w:tcPr>
          <w:p>
            <w:pPr/>
            <w:r>
              <w:rPr/>
              <w:t xml:space="preserve">4. The reported securities are held directly by Organo PFG (as defined below), which is a member of the Group. Alan A. Ades and Albert Erani are managing members of Organo PFG and they share voting and investment power over the shares of common stock held by such entity. Each of Mr. Ades and Mr. Erani disclaim beneficial ownership of the shares of common stock held by Organo PFG, except to the extent of his pecuniary interest therein.</w:t>
            </w:r>
          </w:p>
        </w:tc>
      </w:tr>
      <w:tr>
        <w:trPr/>
        <w:tc>
          <w:tcPr>
            <w:tcW w:w="5000" w:type="pct"/>
            <w:noWrap/>
          </w:tcPr>
          <w:p>
            <w:pPr/>
            <w:r>
              <w:rPr/>
              <w:t xml:space="preserve">5. The reported securities are held directly by Organo Investors (as defined below), which is a member of the Group.  Alan A. Ades and Albert Erani are managing members of Organo Investors and they share voting and investment power over the shares of common stock held by such entity. Each of Mr. Ades and Mr. Erani disclaim beneficial ownership of the shares of common stock held by Organo Investors, except to the extent of his pecuniary interest therein.</w:t>
            </w:r>
          </w:p>
        </w:tc>
      </w:tr>
      <w:tr>
        <w:trPr/>
        <w:tc>
          <w:tcPr>
            <w:tcW w:w="5000" w:type="pct"/>
            <w:noWrap/>
          </w:tcPr>
          <w:p>
            <w:pPr/>
            <w:r>
              <w:rPr/>
              <w:t xml:space="preserve">6. The reported securities are held directly by Glenn H. Nussdorf, who is a member of the Group.</w:t>
            </w:r>
          </w:p>
        </w:tc>
      </w:tr>
      <w:tr>
        <w:trPr/>
        <w:tc>
          <w:tcPr>
            <w:tcW w:w="5000" w:type="pct"/>
            <w:noWrap/>
          </w:tcPr>
          <w:p>
            <w:pPr/>
            <w:r>
              <w:rPr/>
              <w:t xml:space="preserve">7. The reported securities are held directly by AGRAT (as defined below), which is a member of the Group. Alan A. Ades  exercises voting and investment power over the shares of common stock held by Mr. Ades as the trustee of AGRAT. Mr. Ades disclaims beneficial ownership of the shares of common stock held by Mr. Ades as the trustee of AGRAT, except to the extent of his pecuniary interest therein.</w:t>
            </w:r>
          </w:p>
        </w:tc>
      </w:tr>
      <w:tr>
        <w:trPr/>
        <w:tc>
          <w:tcPr>
            <w:tcW w:w="5000" w:type="pct"/>
            <w:noWrap/>
          </w:tcPr>
          <w:p>
            <w:pPr/>
            <w:r>
              <w:rPr/>
              <w:t xml:space="preserve">8. The reported securities are held directly by A Erani Trust (as defined below), which is a member of the Group. Starr Wisdom is a trustee of A Erani Trust and Albert Erani exercises voting and investment power over the shares of common stock held by the A Erani Trust. Ms. Wisdom and Mr. Erani each disclaim beneficial ownership of the shares of common stock held by the A Erani Trust, except to the extent of his or her pecuniary interest therein.</w:t>
            </w:r>
          </w:p>
        </w:tc>
      </w:tr>
      <w:tr>
        <w:trPr/>
        <w:tc>
          <w:tcPr>
            <w:tcW w:w="5000" w:type="pct"/>
            <w:noWrap/>
          </w:tcPr>
          <w:p>
            <w:pPr/>
            <w:r>
              <w:rPr/>
              <w:t xml:space="preserve">9. The reported securities are held directly by D Erani Trust (as defined below), which is a member of the Group. Glenn H. Nussdorf is a trustee of D Erani Trust. Susan Erani, Dennis Erani's spouse, exercises voting and investment power over the shares of common stock held by the D Erani Trust. Mr. Erani disclaims beneficial ownership of the shares of common stock held by the D Erani Trust except to the extent of his pecuniary interest therein.</w:t>
            </w:r>
          </w:p>
        </w:tc>
      </w:tr>
      <w:tr>
        <w:trPr/>
        <w:tc>
          <w:tcPr>
            <w:tcW w:w="5000" w:type="pct"/>
            <w:noWrap/>
          </w:tcPr>
          <w:p>
            <w:pPr/>
            <w:r>
              <w:rPr/>
              <w:t xml:space="preserve">10. The reported securities are held directly by GN Family Trust (as defined below), which is a member of the Group. Glenn H. Nussdorf exercises voting and investment power over the shares of common stock held by GN Family Trust. Mr. Nussdorf disclaims beneficial ownership of the shares of common stock held by GN Family Trust, except to the extent of his pecuniary interest therein.</w:t>
            </w:r>
          </w:p>
        </w:tc>
      </w:tr>
      <w:tr>
        <w:trPr/>
        <w:tc>
          <w:tcPr>
            <w:tcW w:w="5000" w:type="pct"/>
            <w:noWrap/>
          </w:tcPr>
          <w:p>
            <w:pPr/>
            <w:r>
              <w:rPr/>
              <w:t xml:space="preserve">11. The reported securities are held directly by GN GRAT (as defined below), which is a member of the Group. Glenn H. Nussdorf is a trustee of GN GRAT and exercises voting and investment power over the shares of common stock held by GN GRAT. Mr. Nussdorf disclaims beneficial ownership of the shares of common stock held by GN GRAT, except to the extent of his pecuniary interest therein.</w:t>
            </w:r>
          </w:p>
        </w:tc>
      </w:tr>
      <w:tr>
        <w:trPr/>
        <w:tc>
          <w:tcPr>
            <w:tcW w:w="5000" w:type="pct"/>
            <w:noWrap/>
          </w:tcPr>
          <w:p>
            <w:pPr/>
            <w:r>
              <w:rPr/>
              <w:t xml:space="preserve">12. The reported securities are held directly by Starr Wisdom, who is a member of the Group.</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PFG"), Organo Investors LLC ("Organo Investors"), Dennis Erani 2012 Issue Trust ("D Erani Trust"), Alan Ades as Trustee of the Alan Ades 2014 GRAT ("AGRAT"), Albert Erani Family Trust dated 12/29/2012 ("A Erani Trust"), GN 2016 Family Trust u/a/d August 12, 2016 ("GN Family Trust") and GN 2016 Organo 10-Year GRAT u/a/d September 30, 2016 ("GN GRAT"),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amended.Alan A. Ades, Albert Erani and Glenn H. Nussdorf have been granted additional shares of common stock of the Issuer in connection with the Issuer's business combination with Organogenesis Inc. ("Organogenesis") in accordance with the terms of the Agreement and Plan of Merger dated as of August 17, 2018 among the Issuer, which was then referred to as Avista Healthcare Public Acquisition Corp., Avista Healthcare Merger Sub, Inc. and Organogenesis. Pursuant to guidance from the Securities and Exchange Commission (the "SEC"), such shares are reported separately on a Form 4 filed with the SEC on behalf of the Controlling Entities.This is Form 3 No. 2 of 2 filed for the Controlling Entities.</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12/12/2018</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5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2026-08-08T03:40:16-04:00</dcterms:created>
  <dcterms:modified xsi:type="dcterms:W3CDTF">2026-08-08T03:40:16-04:00</dcterms:modified>
</cp:coreProperties>
</file>

<file path=docProps/custom.xml><?xml version="1.0" encoding="utf-8"?>
<Properties xmlns="http://schemas.openxmlformats.org/officeDocument/2006/custom-properties" xmlns:vt="http://schemas.openxmlformats.org/officeDocument/2006/docPropsVTypes"/>
</file>