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3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3</w:t>
            </w:r>
          </w:p>
        </w:tc>
        <w:tc>
          <w:tcPr>
            <w:tcW w:w="3000" w:type="pct"/>
            <w:vAlign w:val="center"/>
            <w:noWrap/>
          </w:tcPr>
          <w:p>
            <w:pPr>
              <w:jc w:val="center"/>
            </w:pPr>
            <w:r>
              <w:rPr/>
              <w:t xml:space="preserve">UNITED STATES SECURITIES AND EXCHANGE COMMISSION</w:t>
            </w:r>
            <w:br/>
            <w:r>
              <w:rPr/>
              <w:t xml:space="preserve">Washington, D.C. 20549</w:t>
            </w:r>
            <w:br/>
            <w:br/>
            <w:r>
              <w:rPr/>
              <w:t xml:space="preserve">INITIAL STATEMENT OF BENEFICIAL OWNERSHIP OF SECURITIES</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3235-0104</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bl>
    <w:tbl>
      <w:tblGrid>
        <w:gridCol w:w="1500" w:type="dxa"/>
        <w:gridCol w:w="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5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KATZ MICHAEL W</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750" w:type="pct"/>
            <w:vAlign w:val="top"/>
            <w:noWrap/>
          </w:tcPr>
          <w:p>
            <w:pPr/>
            <w:r>
              <w:rPr/>
              <w:t xml:space="preserve">2. Date of Event Requiring Statement         (Month/Day/Year)</w:t>
            </w:r>
            <w:br/>
            <w:r>
              <w:rPr/>
              <w:t xml:space="preserve">12/10/2018</w:t>
            </w:r>
          </w:p>
        </w:tc>
        <w:tc>
          <w:tcPr>
            <w:tcW w:w="5000" w:type="pct"/>
            <w:vAlign w:val="top"/>
            <w:gridSpan w:val="2"/>
            <w:noWrap/>
          </w:tcPr>
          <w:p>
            <w:pPr/>
            <w:r>
              <w:rPr/>
              <w:t xml:space="preserve">3.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r>
      <w:tr>
        <w:trPr/>
        <w:tc>
          <w:tcPr>
            <w:tcW w:w="1500" w:type="pct"/>
            <w:vAlign w:val="top"/>
            <w:noWrap/>
          </w:tcPr>
          <w:p>
            <w:pPr/>
            <w:r>
              <w:rPr/>
              <w:t xml:space="preserve">4.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c>
          <w:tcPr>
            <w:tcW w:w="5000" w:type="pct"/>
            <w:vAlign w:val="top"/>
            <w:noWrap/>
          </w:tcPr>
          <w:p>
            <w:pPr/>
            <w:r>
              <w:rPr/>
              <w:t xml:space="preserve">5. If Amendment, Date of Original Filed         (Month/Day/Year)</w:t>
            </w:r>
            <w:br/>
          </w:p>
        </w:tc>
      </w:tr>
      <w:tr>
        <w:trPr/>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2200" w:type="dxa"/>
        <w:gridCol w:w="950" w:type="dxa"/>
        <w:gridCol w:w="550" w:type="dxa"/>
        <w:gridCol w:w="13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4"/>
            <w:noWrap/>
          </w:tcPr>
          <w:p>
            <w:pPr>
              <w:jc w:val="center"/>
            </w:pPr>
            <w:r>
              <w:rPr>
                <w:b w:val="1"/>
                <w:bCs w:val="1"/>
              </w:rPr>
              <w:t xml:space="preserve">Table I - Non-Derivative Securities Beneficially Owned</w:t>
            </w:r>
          </w:p>
        </w:tc>
      </w:tr>
      <w:tr>
        <w:trPr>
          <w:tblHeader w:val="1"/>
        </w:trPr>
        <w:tc>
          <w:tcPr>
            <w:tcW w:w="2200" w:type="pct"/>
            <w:vAlign w:val="top"/>
            <w:noWrap/>
          </w:tcPr>
          <w:p>
            <w:pPr>
              <w:jc w:val="start"/>
            </w:pPr>
            <w:r>
              <w:rPr/>
              <w:t xml:space="preserve">1. Title of Security (Instr.       4)   </w:t>
            </w:r>
          </w:p>
        </w:tc>
        <w:tc>
          <w:tcPr>
            <w:tcW w:w="950" w:type="pct"/>
            <w:vAlign w:val="top"/>
            <w:noWrap/>
          </w:tcPr>
          <w:p>
            <w:pPr>
              <w:jc w:val="start"/>
            </w:pPr>
            <w:r>
              <w:rPr/>
              <w:t xml:space="preserve">2.       Amount of Securities Beneficially Owned (Instr.       4)   </w:t>
            </w:r>
          </w:p>
        </w:tc>
        <w:tc>
          <w:tcPr>
            <w:tcW w:w="550" w:type="pct"/>
            <w:vAlign w:val="top"/>
            <w:noWrap/>
          </w:tcPr>
          <w:p>
            <w:pPr>
              <w:jc w:val="start"/>
            </w:pPr>
            <w:r>
              <w:rPr/>
              <w:t xml:space="preserve">3. Ownership Form: Direct (D) or Indirect (I) (Instr.       5)   </w:t>
            </w:r>
          </w:p>
        </w:tc>
        <w:tc>
          <w:tcPr>
            <w:tcW w:w="1300" w:type="pct"/>
            <w:vAlign w:val="top"/>
            <w:noWrap/>
          </w:tcPr>
          <w:p>
            <w:pPr>
              <w:jc w:val="start"/>
            </w:pPr>
            <w:r>
              <w:rPr/>
              <w:t xml:space="preserve">4. Nature of Indirect Beneficial Ownership (Instr.       5)   </w:t>
            </w:r>
          </w:p>
        </w:tc>
      </w:tr>
    </w:tbl>
    <w:tbl>
      <w:tblGrid>
        <w:gridCol w:w="1750" w:type="dxa"/>
        <w:gridCol w:w="450" w:type="dxa"/>
        <w:gridCol w:w="1300" w:type="dxa"/>
        <w:gridCol w:w="350" w:type="dxa"/>
        <w:gridCol w:w="400" w:type="dxa"/>
        <w:gridCol w:w="7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8"/>
            <w:noWrap/>
          </w:tcPr>
          <w:p>
            <w:pPr>
              <w:jc w:val="center"/>
            </w:pPr>
            <w:r>
              <w:rPr>
                <w:b w:val="1"/>
                <w:bCs w:val="1"/>
              </w:rPr>
              <w:t xml:space="preserve">Table II - Derivative Securities Beneficially Owned</w:t>
            </w:r>
            <w:br/>
            <w:r>
              <w:rPr>
                <w:b w:val="1"/>
                <w:bCs w:val="1"/>
              </w:rPr>
              <w:t xml:space="preserve">(e.g., puts, calls, warrants, options, convertible securities)</w:t>
            </w:r>
          </w:p>
        </w:tc>
      </w:tr>
      <w:tr>
        <w:trPr>
          <w:tblHeader w:val="1"/>
        </w:trPr>
        <w:tc>
          <w:tcPr>
            <w:tcW w:w="1750" w:type="pct"/>
            <w:vAlign w:val="top"/>
            <w:noWrap/>
          </w:tcPr>
          <w:p>
            <w:pPr>
              <w:jc w:val="start"/>
            </w:pPr>
            <w:r>
              <w:rPr/>
              <w:t xml:space="preserve">1. Title of Derivative Security (Instr.       4)   </w:t>
            </w:r>
          </w:p>
        </w:tc>
        <w:tc>
          <w:tcPr>
            <w:tcW w:w="450" w:type="pct"/>
            <w:vAlign w:val="top"/>
            <w:gridSpan w:val="2"/>
            <w:noWrap/>
          </w:tcPr>
          <w:p>
            <w:pPr>
              <w:jc w:val="start"/>
            </w:pPr>
            <w:r>
              <w:rPr/>
              <w:t xml:space="preserve">2. Date Exercisable and Expiration Date       (Month/Day/Year)</w:t>
            </w:r>
          </w:p>
        </w:tc>
        <w:tc>
          <w:tcPr>
            <w:tcW w:w="1300" w:type="pct"/>
            <w:vAlign w:val="top"/>
            <w:gridSpan w:val="2"/>
            <w:noWrap/>
          </w:tcPr>
          <w:p>
            <w:pPr>
              <w:jc w:val="start"/>
            </w:pPr>
            <w:r>
              <w:rPr/>
              <w:t xml:space="preserve">3. Title and Amount of Securities Underlying Derivative Security (Instr.       4)   </w:t>
            </w:r>
          </w:p>
        </w:tc>
        <w:tc>
          <w:tcPr>
            <w:tcW w:w="350" w:type="pct"/>
            <w:vAlign w:val="top"/>
            <w:noWrap/>
          </w:tcPr>
          <w:p>
            <w:pPr>
              <w:jc w:val="start"/>
            </w:pPr>
            <w:r>
              <w:rPr/>
              <w:t xml:space="preserve">4. Conversion or Exercise Price of Derivative Security   </w:t>
            </w:r>
          </w:p>
        </w:tc>
        <w:tc>
          <w:tcPr>
            <w:tcW w:w="400" w:type="pct"/>
            <w:vAlign w:val="top"/>
            <w:noWrap/>
          </w:tcPr>
          <w:p>
            <w:pPr>
              <w:jc w:val="start"/>
            </w:pPr>
            <w:r>
              <w:rPr/>
              <w:t xml:space="preserve">5. Ownership Form: Direct (D) or Indirect (I) (Instr.       5)   </w:t>
            </w:r>
          </w:p>
        </w:tc>
        <w:tc>
          <w:tcPr>
            <w:tcW w:w="750" w:type="pct"/>
            <w:vAlign w:val="top"/>
            <w:noWrap/>
          </w:tcPr>
          <w:p>
            <w:pPr>
              <w:jc w:val="start"/>
            </w:pPr>
            <w:r>
              <w:rPr/>
              <w:t xml:space="preserve">6. Nature of Indirect Beneficial Ownership (Instr.       5)   </w:t>
            </w:r>
          </w:p>
        </w:tc>
      </w:tr>
      <w:tr>
        <w:trPr>
          <w:tblHeader w:val="1"/>
        </w:trPr>
        <w:tc>
          <w:tcPr>
            <w:tcW w:w="200" w:type="pct"/>
            <w:vAlign w:val="bottom"/>
            <w:noWrap/>
          </w:tcPr>
          <w:p>
            <w:pPr>
              <w:jc w:val="center"/>
            </w:pPr>
            <w:r>
              <w:rPr/>
              <w:t xml:space="preserve">Date Exercisable</w:t>
            </w:r>
          </w:p>
        </w:tc>
        <w:tc>
          <w:tcPr>
            <w:tcW w:w="250" w:type="pct"/>
            <w:vAlign w:val="bottom"/>
            <w:noWrap/>
          </w:tcPr>
          <w:p>
            <w:pPr>
              <w:jc w:val="center"/>
            </w:pPr>
            <w:r>
              <w:rPr/>
              <w:t xml:space="preserve">Expiration Date</w:t>
            </w:r>
          </w:p>
        </w:tc>
        <w:tc>
          <w:tcPr>
            <w:tcW w:w="1000" w:type="pct"/>
            <w:vAlign w:val="bottom"/>
            <w:noWrap/>
          </w:tcPr>
          <w:p>
            <w:pPr>
              <w:jc w:val="center"/>
            </w:pPr>
            <w:r>
              <w:rPr/>
              <w:t xml:space="preserve">Title</w:t>
            </w:r>
          </w:p>
        </w:tc>
        <w:tc>
          <w:tcPr>
            <w:tcW w:w="30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b w:val="1"/>
                <w:bCs w:val="1"/>
              </w:rPr>
              <w:t xml:space="preserve">Remarks:</w:t>
            </w:r>
          </w:p>
        </w:tc>
      </w:tr>
      <w:tr>
        <w:trPr/>
        <w:tc>
          <w:tcPr>
            <w:tcW w:w="5000" w:type="pct"/>
            <w:noWrap/>
          </w:tcPr>
          <w:p>
            <w:pPr/>
            <w:r>
              <w:rPr/>
              <w:t xml:space="preserve">Mr. Katz is the trustee of the GN 2016 Family Trust u/a/d August 12, 2016 (the "Trust"), a  stockholder of the issuer that is a member of a group holding over 10% of the outstanding shares of Class A common stock of the issuer for purposes of Section 13(d) of the Securities Exchange Act of 1934, as amended, and he exercises voting and investment control over the shares of the issuer's Class A common stock held by the Trust (the "Trust Shares").  Mr. Katz does not have a pecuniary interest in the Trust Shares.</w:t>
            </w:r>
          </w:p>
        </w:tc>
      </w:tr>
      <w:tr>
        <w:trPr/>
        <w:tc>
          <w:tcPr>
            <w:tcW w:w="5000" w:type="pct"/>
            <w:noWrap/>
          </w:tcPr>
          <w:p>
            <w:pPr/>
            <w:r>
              <w:rPr>
                <w:b w:val="1"/>
                <w:bCs w:val="1"/>
              </w:rPr>
              <w:t xml:space="preserve">No securities are beneficially owned.</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05/24/2019</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5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79930"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2026-08-07T12:19:47-04:00</dcterms:created>
  <dcterms:modified xsi:type="dcterms:W3CDTF">2026-08-07T12:19:47-04:00</dcterms:modified>
</cp:coreProperties>
</file>

<file path=docProps/custom.xml><?xml version="1.0" encoding="utf-8"?>
<Properties xmlns="http://schemas.openxmlformats.org/officeDocument/2006/custom-properties" xmlns:vt="http://schemas.openxmlformats.org/officeDocument/2006/docPropsVTypes"/>
</file>