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3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3</w:t>
            </w:r>
          </w:p>
        </w:tc>
        <w:tc>
          <w:tcPr>
            <w:tcW w:w="3000" w:type="pct"/>
            <w:vAlign w:val="center"/>
            <w:noWrap/>
          </w:tcPr>
          <w:p>
            <w:pPr>
              <w:jc w:val="center"/>
            </w:pPr>
            <w:r>
              <w:rPr/>
              <w:t xml:space="preserve">UNITED STATES SECURITIES AND EXCHANGE COMMISSION</w:t>
            </w:r>
            <w:br/>
            <w:r>
              <w:rPr/>
              <w:t xml:space="preserve">Washington, D.C. 20549</w:t>
            </w:r>
            <w:br/>
            <w:br/>
            <w:r>
              <w:rPr/>
              <w:t xml:space="preserve">INITIAL STATEMENT OF BENEFICIAL OWNERSHIP OF SECURITIES</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3235-0104</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bl>
    <w:tbl>
      <w:tblGrid>
        <w:gridCol w:w="1500" w:type="dxa"/>
        <w:gridCol w:w="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5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McGuire Patrick</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750" w:type="pct"/>
            <w:vAlign w:val="top"/>
            <w:noWrap/>
          </w:tcPr>
          <w:p>
            <w:pPr/>
            <w:r>
              <w:rPr/>
              <w:t xml:space="preserve">2. Date of Event Requiring Statement         (Month/Day/Year)</w:t>
            </w:r>
            <w:br/>
            <w:r>
              <w:rPr/>
              <w:t xml:space="preserve">02/18/2026</w:t>
            </w:r>
          </w:p>
        </w:tc>
        <w:tc>
          <w:tcPr>
            <w:tcW w:w="5000" w:type="pct"/>
            <w:vAlign w:val="top"/>
            <w:gridSpan w:val="2"/>
            <w:noWrap/>
          </w:tcPr>
          <w:p>
            <w:pPr/>
            <w:r>
              <w:rPr/>
              <w:t xml:space="preserve">3.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r>
      <w:tr>
        <w:trPr/>
        <w:tc>
          <w:tcPr>
            <w:tcW w:w="1500" w:type="pct"/>
            <w:vAlign w:val="top"/>
            <w:noWrap/>
          </w:tcPr>
          <w:p>
            <w:pPr/>
            <w:r>
              <w:rPr/>
              <w:t xml:space="preserve">4.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Accounting Officer</w:t>
                  </w:r>
                </w:p>
              </w:tc>
              <w:tc>
                <w:tcPr>
                  <w:tcW w:w="750" w:type="pct"/>
                  <w:vAlign w:val="top"/>
                  <w:noWrap/>
                </w:tcPr>
                <w:p>
                  <w:pPr>
                    <w:jc w:val="center"/>
                  </w:pPr>
                </w:p>
              </w:tc>
              <w:tc>
                <w:tcPr>
                  <w:tcW w:w="1750" w:type="pct"/>
                  <w:vAlign w:val="top"/>
                  <w:noWrap/>
                </w:tcPr>
                <w:p>
                  <w:pPr>
                    <w:jc w:val="start"/>
                  </w:pPr>
                </w:p>
              </w:tc>
            </w:tr>
          </w:tbl>
          <w:p/>
        </w:tc>
        <w:tc>
          <w:tcPr>
            <w:tcW w:w="5000" w:type="pct"/>
            <w:vAlign w:val="top"/>
            <w:noWrap/>
          </w:tcPr>
          <w:p>
            <w:pPr/>
            <w:r>
              <w:rPr/>
              <w:t xml:space="preserve">5. If Amendment, Date of Original Filed         (Month/Day/Year)</w:t>
            </w:r>
            <w:br/>
          </w:p>
        </w:tc>
      </w:tr>
      <w:tr>
        <w:trPr/>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2200" w:type="dxa"/>
        <w:gridCol w:w="950" w:type="dxa"/>
        <w:gridCol w:w="550" w:type="dxa"/>
        <w:gridCol w:w="13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4"/>
            <w:noWrap/>
          </w:tcPr>
          <w:p>
            <w:pPr>
              <w:jc w:val="center"/>
            </w:pPr>
            <w:r>
              <w:rPr>
                <w:b w:val="1"/>
                <w:bCs w:val="1"/>
              </w:rPr>
              <w:t xml:space="preserve">Table I - Non-Derivative Securities Beneficially Owned</w:t>
            </w:r>
          </w:p>
        </w:tc>
      </w:tr>
      <w:tr>
        <w:trPr>
          <w:tblHeader w:val="1"/>
        </w:trPr>
        <w:tc>
          <w:tcPr>
            <w:tcW w:w="2200" w:type="pct"/>
            <w:vAlign w:val="top"/>
            <w:noWrap/>
          </w:tcPr>
          <w:p>
            <w:pPr>
              <w:jc w:val="start"/>
            </w:pPr>
            <w:r>
              <w:rPr/>
              <w:t xml:space="preserve">1. Title of Security (Instr.       4)   </w:t>
            </w:r>
          </w:p>
        </w:tc>
        <w:tc>
          <w:tcPr>
            <w:tcW w:w="950" w:type="pct"/>
            <w:vAlign w:val="top"/>
            <w:noWrap/>
          </w:tcPr>
          <w:p>
            <w:pPr>
              <w:jc w:val="start"/>
            </w:pPr>
            <w:r>
              <w:rPr/>
              <w:t xml:space="preserve">2.       Amount of Securities Beneficially Owned (Instr.       4)   </w:t>
            </w:r>
          </w:p>
        </w:tc>
        <w:tc>
          <w:tcPr>
            <w:tcW w:w="550" w:type="pct"/>
            <w:vAlign w:val="top"/>
            <w:noWrap/>
          </w:tcPr>
          <w:p>
            <w:pPr>
              <w:jc w:val="start"/>
            </w:pPr>
            <w:r>
              <w:rPr/>
              <w:t xml:space="preserve">3. Ownership Form: Direct (D) or Indirect (I) (Instr.       5)   </w:t>
            </w:r>
          </w:p>
        </w:tc>
        <w:tc>
          <w:tcPr>
            <w:tcW w:w="1300" w:type="pct"/>
            <w:vAlign w:val="top"/>
            <w:noWrap/>
          </w:tcPr>
          <w:p>
            <w:pPr>
              <w:jc w:val="start"/>
            </w:pPr>
            <w:r>
              <w:rPr/>
              <w:t xml:space="preserve">4. Nature of Indirect Beneficial Ownership (Instr.       5)   </w:t>
            </w:r>
          </w:p>
        </w:tc>
      </w:tr>
      <w:tr>
        <w:trPr/>
        <w:tc>
          <w:tcPr>
            <w:tcW w:w="5000" w:type="pct"/>
            <w:noWrap/>
          </w:tcPr>
          <w:p>
            <w:pPr>
              <w:jc w:val="start"/>
            </w:pPr>
            <w:r>
              <w:rPr/>
              <w:t xml:space="preserve">Class A Common Stock</w:t>
            </w:r>
          </w:p>
        </w:tc>
        <w:tc>
          <w:tcPr>
            <w:tcW w:w="5000" w:type="pct"/>
            <w:noWrap/>
          </w:tcPr>
          <w:p>
            <w:pPr>
              <w:jc w:val="center"/>
            </w:pPr>
            <w:r>
              <w:rPr/>
              <w:t xml:space="preserve">9,521</w:t>
            </w:r>
            <w:r>
              <w:rPr>
                <w:vertAlign w:val="superscript"/>
              </w:rPr>
              <w:t xml:space="preserve">(2)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r>
              <w:rPr>
                <w:vertAlign w:val="superscript"/>
              </w:rPr>
              <w:t xml:space="preserve">(1)</w:t>
            </w:r>
          </w:p>
        </w:tc>
        <w:tc>
          <w:tcPr>
            <w:tcW w:w="5000" w:type="pct"/>
            <w:noWrap/>
          </w:tcPr>
          <w:p>
            <w:pPr>
              <w:jc w:val="center"/>
            </w:pPr>
            <w:r>
              <w:rPr/>
              <w:t xml:space="preserve">16,965</w:t>
            </w:r>
            <w:r>
              <w:rPr>
                <w:vertAlign w:val="superscript"/>
              </w:rPr>
              <w:t xml:space="preserve">(3)</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r>
              <w:rPr>
                <w:vertAlign w:val="superscript"/>
              </w:rPr>
              <w:t xml:space="preserve">(1)</w:t>
            </w:r>
          </w:p>
        </w:tc>
        <w:tc>
          <w:tcPr>
            <w:tcW w:w="5000" w:type="pct"/>
            <w:noWrap/>
          </w:tcPr>
          <w:p>
            <w:pPr>
              <w:jc w:val="center"/>
            </w:pPr>
            <w:r>
              <w:rPr/>
              <w:t xml:space="preserve">28,125</w:t>
            </w:r>
            <w:r>
              <w:rPr>
                <w:vertAlign w:val="superscript"/>
              </w:rPr>
              <w:t xml:space="preserve">(4)</w:t>
            </w:r>
          </w:p>
        </w:tc>
        <w:tc>
          <w:tcPr>
            <w:tcW w:w="5000" w:type="pct"/>
            <w:noWrap/>
          </w:tcPr>
          <w:p>
            <w:pPr>
              <w:jc w:val="center"/>
            </w:pPr>
            <w:r>
              <w:rPr/>
              <w:t xml:space="preserve">D</w:t>
            </w:r>
          </w:p>
        </w:tc>
        <w:tc>
          <w:tcPr>
            <w:tcW w:w="5000" w:type="pct"/>
            <w:noWrap/>
          </w:tcPr>
          <w:p>
            <w:pPr>
              <w:jc w:val="start"/>
            </w:pPr>
          </w:p>
        </w:tc>
      </w:tr>
    </w:tbl>
    <w:tbl>
      <w:tblGrid>
        <w:gridCol w:w="1750" w:type="dxa"/>
        <w:gridCol w:w="450" w:type="dxa"/>
        <w:gridCol w:w="1300" w:type="dxa"/>
        <w:gridCol w:w="350" w:type="dxa"/>
        <w:gridCol w:w="400" w:type="dxa"/>
        <w:gridCol w:w="7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8"/>
            <w:noWrap/>
          </w:tcPr>
          <w:p>
            <w:pPr>
              <w:jc w:val="center"/>
            </w:pPr>
            <w:r>
              <w:rPr>
                <w:b w:val="1"/>
                <w:bCs w:val="1"/>
              </w:rPr>
              <w:t xml:space="preserve">Table II - Derivative Securities Beneficially Owned</w:t>
            </w:r>
            <w:br/>
            <w:r>
              <w:rPr>
                <w:b w:val="1"/>
                <w:bCs w:val="1"/>
              </w:rPr>
              <w:t xml:space="preserve">(e.g., puts, calls, warrants, options, convertible securities)</w:t>
            </w:r>
          </w:p>
        </w:tc>
      </w:tr>
      <w:tr>
        <w:trPr>
          <w:tblHeader w:val="1"/>
        </w:trPr>
        <w:tc>
          <w:tcPr>
            <w:tcW w:w="1750" w:type="pct"/>
            <w:vAlign w:val="top"/>
            <w:noWrap/>
          </w:tcPr>
          <w:p>
            <w:pPr>
              <w:jc w:val="start"/>
            </w:pPr>
            <w:r>
              <w:rPr/>
              <w:t xml:space="preserve">1. Title of Derivative Security (Instr.       4)   </w:t>
            </w:r>
          </w:p>
        </w:tc>
        <w:tc>
          <w:tcPr>
            <w:tcW w:w="450" w:type="pct"/>
            <w:vAlign w:val="top"/>
            <w:gridSpan w:val="2"/>
            <w:noWrap/>
          </w:tcPr>
          <w:p>
            <w:pPr>
              <w:jc w:val="start"/>
            </w:pPr>
            <w:r>
              <w:rPr/>
              <w:t xml:space="preserve">2. Date Exercisable and Expiration Date       (Month/Day/Year)</w:t>
            </w:r>
          </w:p>
        </w:tc>
        <w:tc>
          <w:tcPr>
            <w:tcW w:w="1300" w:type="pct"/>
            <w:vAlign w:val="top"/>
            <w:gridSpan w:val="2"/>
            <w:noWrap/>
          </w:tcPr>
          <w:p>
            <w:pPr>
              <w:jc w:val="start"/>
            </w:pPr>
            <w:r>
              <w:rPr/>
              <w:t xml:space="preserve">3. Title and Amount of Securities Underlying Derivative Security (Instr.       4)   </w:t>
            </w:r>
          </w:p>
        </w:tc>
        <w:tc>
          <w:tcPr>
            <w:tcW w:w="350" w:type="pct"/>
            <w:vAlign w:val="top"/>
            <w:noWrap/>
          </w:tcPr>
          <w:p>
            <w:pPr>
              <w:jc w:val="start"/>
            </w:pPr>
            <w:r>
              <w:rPr/>
              <w:t xml:space="preserve">4. Conversion or Exercise Price of Derivative Security   </w:t>
            </w:r>
          </w:p>
        </w:tc>
        <w:tc>
          <w:tcPr>
            <w:tcW w:w="400" w:type="pct"/>
            <w:vAlign w:val="top"/>
            <w:noWrap/>
          </w:tcPr>
          <w:p>
            <w:pPr>
              <w:jc w:val="start"/>
            </w:pPr>
            <w:r>
              <w:rPr/>
              <w:t xml:space="preserve">5. Ownership Form: Direct (D) or Indirect (I) (Instr.       5)   </w:t>
            </w:r>
          </w:p>
        </w:tc>
        <w:tc>
          <w:tcPr>
            <w:tcW w:w="750" w:type="pct"/>
            <w:vAlign w:val="top"/>
            <w:noWrap/>
          </w:tcPr>
          <w:p>
            <w:pPr>
              <w:jc w:val="start"/>
            </w:pPr>
            <w:r>
              <w:rPr/>
              <w:t xml:space="preserve">6. Nature of Indirect Beneficial Ownership (Instr.       5)   </w:t>
            </w:r>
          </w:p>
        </w:tc>
      </w:tr>
      <w:tr>
        <w:trPr>
          <w:tblHeader w:val="1"/>
        </w:trPr>
        <w:tc>
          <w:tcPr>
            <w:tcW w:w="200" w:type="pct"/>
            <w:vAlign w:val="bottom"/>
            <w:noWrap/>
          </w:tcPr>
          <w:p>
            <w:pPr>
              <w:jc w:val="center"/>
            </w:pPr>
            <w:r>
              <w:rPr/>
              <w:t xml:space="preserve">Date Exercisable</w:t>
            </w:r>
          </w:p>
        </w:tc>
        <w:tc>
          <w:tcPr>
            <w:tcW w:w="250" w:type="pct"/>
            <w:vAlign w:val="bottom"/>
            <w:noWrap/>
          </w:tcPr>
          <w:p>
            <w:pPr>
              <w:jc w:val="center"/>
            </w:pPr>
            <w:r>
              <w:rPr/>
              <w:t xml:space="preserve">Expiration Date</w:t>
            </w:r>
          </w:p>
        </w:tc>
        <w:tc>
          <w:tcPr>
            <w:tcW w:w="1000" w:type="pct"/>
            <w:vAlign w:val="bottom"/>
            <w:noWrap/>
          </w:tcPr>
          <w:p>
            <w:pPr>
              <w:jc w:val="center"/>
            </w:pPr>
            <w:r>
              <w:rPr/>
              <w:t xml:space="preserve">Title</w:t>
            </w:r>
          </w:p>
        </w:tc>
        <w:tc>
          <w:tcPr>
            <w:tcW w:w="30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w:t>
            </w:r>
          </w:p>
        </w:tc>
      </w:tr>
      <w:tr>
        <w:trPr/>
        <w:tc>
          <w:tcPr>
            <w:tcW w:w="5000" w:type="pct"/>
            <w:noWrap/>
          </w:tcPr>
          <w:p>
            <w:pPr/>
            <w:r>
              <w:rPr/>
              <w:t xml:space="preserve">2. Represents shares of Class A Common Stock of Organogenesis pursuant to vested RSUs under the 2018 Equity Incentive Plan.</w:t>
            </w:r>
          </w:p>
        </w:tc>
      </w:tr>
      <w:tr>
        <w:trPr/>
        <w:tc>
          <w:tcPr>
            <w:tcW w:w="5000" w:type="pct"/>
            <w:noWrap/>
          </w:tcPr>
          <w:p>
            <w:pPr/>
            <w:r>
              <w:rPr/>
              <w:t xml:space="preserve">3. Represents unvested RSUs which will vest in equal annual installments on December 29, 2026, December 29, 2027, and December 29, 2028.</w:t>
            </w:r>
          </w:p>
        </w:tc>
      </w:tr>
      <w:tr>
        <w:trPr/>
        <w:tc>
          <w:tcPr>
            <w:tcW w:w="5000" w:type="pct"/>
            <w:noWrap/>
          </w:tcPr>
          <w:p>
            <w:pPr/>
            <w:r>
              <w:rPr/>
              <w:t xml:space="preserve">4. Represents unvested RSUs which will vest in equal annual installments on February 15, 2027, February 15, 2028, and February 15, 2029.</w:t>
            </w:r>
          </w:p>
        </w:tc>
      </w:tr>
      <w:tr>
        <w:trPr/>
        <w:tc>
          <w:tcPr>
            <w:tcW w:w="5000" w:type="pct"/>
            <w:noWrap/>
          </w:tcPr>
          <w:p>
            <w:pPr/>
            <w:r>
              <w:rPr>
                <w:b w:val="1"/>
                <w:bCs w:val="1"/>
              </w:rPr>
              <w:t xml:space="preserve">Remarks:</w:t>
            </w:r>
          </w:p>
        </w:tc>
      </w:tr>
      <w:tr>
        <w:trPr/>
        <w:tc>
          <w:tcPr>
            <w:tcW w:w="5000" w:type="pct"/>
            <w:noWrap/>
          </w:tcPr>
          <w:p>
            <w:pPr/>
            <w:r>
              <w:rPr/>
              <w:t xml:space="preserve">Exhibit 24 Power of Attorney filed herewith.</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02/27/2026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5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2112688"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2026-08-07T06:16:25-04:00</dcterms:created>
  <dcterms:modified xsi:type="dcterms:W3CDTF">2026-08-07T06:16:25-04:00</dcterms:modified>
</cp:coreProperties>
</file>

<file path=docProps/custom.xml><?xml version="1.0" encoding="utf-8"?>
<Properties xmlns="http://schemas.openxmlformats.org/officeDocument/2006/custom-properties" xmlns:vt="http://schemas.openxmlformats.org/officeDocument/2006/docPropsVTypes"/>
</file>