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SEC Form 4    </w:t></w:r></w:p><w:tbl><w:tblGrid><w:gridCol w:w="1000" w:type="dxa"/><w:gridCol w:w="3000" w:type="dxa"/><w:gridCol w:w="1000" w:type="dxa"/></w:tblGrid><w:tblPr><w:tblW w:w="5000" w:type="pct"/><w:tblCellSpacing w:w="0" w:type="dxa"/><w:tblLayout w:type="autofit"/><w:tblBorders><w:top w:val="single" w:sz="0"/><w:left w:val="single" w:sz="0"/><w:right w:val="single" w:sz="0"/><w:bottom w:val="single" w:sz="0"/><w:insideH w:val="single" w:sz="0"/><w:insideV w:val="single" w:sz="0"/></w:tblBorders></w:tblPr><w:tr><w:trPr/><w:tc><w:tcPr><w:tcW w:w="1000" w:type="pct"/><w:vAlign w:val="top"/><w:gridSpan w:val="2"/><w:noWrap/></w:tcPr><w:p><w:pPr><w:jc w:val="center"/></w:pPr><w:r><w:rPr/><w:t xml:space="preserve">FORM 4</w:t></w:r></w:p></w:tc><w:tc><w:tcPr><w:tcW w:w="3000" w:type="pct"/><w:vAlign w:val="center"/><w:noWrap/></w:tcPr><w:p><w:pPr><w:jc w:val="center"/></w:pPr><w:r><w:rPr/><w:t xml:space="preserve">UNITED STATES SECURITIES AND EXCHANGE COMMISSION</w:t></w:r><w:br/><w:r><w:rPr/><w:t xml:space="preserve">Washington, D.C. 20549</w:t></w:r><w:br/><w:br/><w:r><w:rPr/><w:t xml:space="preserve">STATEMENT OF CHANGES IN BENEFICIAL OWNERSHIP</w:t></w:r><w:br/><w:br/><w:r><w:rPr/><w:t xml:space="preserve">Filed pursuant to Section 16(a) of the Securities Exchange Act of 1934</w:t></w:r><w:br/><w:r><w:rPr/><w:t xml:space="preserve">or Section 30(h) of the Investment Company Act of 1940</w:t></w:r></w:p></w:tc><w:tc><w:tcPr><w:tcW w:w="1000" w:type="pct"/><w:vAlign w:val="top"/><w:noWrap/></w:tcPr><w:tbl><w:tblGrid><w:gridCol w:w="5000" w:type="dxa"/></w:tblGrid><w:tblPr><w:tblW w:w="5000" w:type="pct"/><w:tblLayout w:type="autofit"/><w:tblBorders><w:top w:val="single" w:sz="15"/><w:left w:val="single" w:sz="15"/><w:right w:val="single" w:sz="15"/><w:bottom w:val="single" w:sz="15"/><w:insideH w:val="single" w:sz="15"/><w:insideV w:val="single" w:sz="15"/></w:tblBorders></w:tblPr><w:tr><w:trPr/><w:tc><w:tcPr><w:tcW w:w="5000" w:type="pct"/><w:vAlign w:val="top"/><w:noWrap/></w:tcPr><w:p><w:pPr/><w:r><w:rPr/><w:t xml:space="preserve">OMB APPROVAL</w:t></w:r></w:p></w:tc></w:tr><w:tr><w:trPr/><w:tc><w:tcPr><w:tcW w:w="5000" w:type="pct"/><w:vAlign w:val="top"/><w:noWrap/></w:tcPr><w:tbl><w:tblGrid><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gridSpan w:val="3"/><w:noWrap/></w:tcPr><w:p><w:pPr/><w:r><w:rPr/><w:t xml:space="preserve">OMB Number:</w:t></w:r></w:p></w:tc><w:tc><w:tcPr><w:tcW w:w="5000" w:type="pct"/><w:vAlign w:val="top"/><w:noWrap/></w:tcPr><w:p><w:pPr/><w:r><w:rPr/><w:t xml:space="preserve">3235-0287</w:t></w:r></w:p></w:tc></w:tr><w:tr><w:trPr/><w:tc><w:tcPr><w:tcW w:w="5000" w:type="pct"/><w:vAlign w:val="top"/><w:gridSpan w:val="4"/><w:noWrap/></w:tcPr><w:p><w:pPr/><w:r><w:rPr/><w:t xml:space="preserve">Estimated average burden</w:t></w:r></w:p></w:tc></w:tr><w:tr><w:trPr/><w:tc><w:tcPr><w:tcW w:w="5000" w:type="pct"/><w:vAlign w:val="top"/><w:gridSpan w:val="3"/><w:noWrap/></w:tcPr><w:p><w:pPr/><w:r><w:rPr/><w:t xml:space="preserve">hours per response:</w:t></w:r></w:p></w:tc><w:tc><w:tcPr><w:tcW w:w="5000" w:type="pct"/><w:vAlign w:val="top"/><w:noWrap/></w:tcPr><w:p><w:pPr/><w:r><w:rPr/><w:t xml:space="preserve">0.5</w:t></w:r></w:p></w:tc></w:tr></w:tbl><w:p/></w:tc></w:tr></w:tbl><w:p/></w:tc></w:tr><w:tr><w:trPr/><w:tc><w:tcPr><w:tcW w:w="5000" w:type="pct"/><w:vAlign w:val="center"/><w:noWrap/></w:tcPr><w:tbl><w:tblGrid><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5000" w:type="pct"/><w:vAlign w:val="center"/><w:noWrap/></w:tcPr><w:p><w:pPr/><w:r><w:rPr/><w:t xml:space="preserve">  </w:t></w:r></w:p></w:tc></w:tr></w:tbl><w:p/></w:tc><w:tc><w:tcPr><w:tcW w:w="5000" w:type="pct"/><w:vAlign w:val="center"/><w:noWrap/></w:tcPr><w:p><w:pPr/><w:r><w:rPr/><w:t xml:space="preserve">Check this box if no longer subject to Section 16. Form 4 or Form 5 obligations may continue.          </w:t></w:r><w:r><w:rPr><w:i w:val="1"/><w:iCs w:val="1"/></w:rPr><w:t xml:space="preserve">See</w:t></w:r><w:r><w:rPr/><w:t xml:space="preserve">         Instruction 1(b).</w:t></w:r></w:p></w:tc></w:tr></w:tbl><w:tbl><w:tblGrid><w:gridCol w:w="1750" w:type="dxa"/><w:gridCol w:w="175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175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NUSSDORF GLENN H</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35 SAWGRASS DRIVE</w:t></w:r></w:p></w:tc></w:tr><w:tr><w:trPr/><w:tc><w:tcPr><w:tcW w:w="5000" w:type="pct"/><w:vAlign w:val="top"/><w:noWrap/></w:tcPr><w:p><w:pP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BELLPORT</w:t></w:r></w:p></w:tc><w:tc><w:tcPr><w:tcW w:w="1650" w:type="pct"/><w:vAlign w:val="top"/><w:noWrap/></w:tcPr><w:p><w:pPr/><w:r><w:rPr/><w:t xml:space="preserve">NY</w:t></w:r></w:p></w:tc><w:tc><w:tcPr><w:tcW w:w="1650" w:type="pct"/><w:vAlign w:val="top"/><w:noWrap/></w:tcPr><w:p><w:pPr/><w:r><w:rPr/><w:t xml:space="preserve">11713</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tc><w:tc><w:tcPr><w:tcW w:w="1750" w:type="pct"/><w:vAlign w:val="top"/><w:noWrap/></w:tcPr><w:p><w:pPr/><w:r><w:rPr/><w:t xml:space="preserve">2. Issuer Name </w:t></w:r><w:r><w:rPr><w:b w:val="1"/><w:bCs w:val="1"/></w:rPr><w:t xml:space="preserve">and</w:t></w:r><w:r><w:rPr/><w:t xml:space="preserve"> Ticker or Trading Symbol      </w:t></w:r><w:br/><w:hyperlink r:id="rId8" w:history="1"><w:r><w:rPr/><w:t xml:space="preserve">Organogenesis Holdings Inc.</w:t></w:r></w:hyperlink><w:r><w:rPr/><w:t xml:space="preserve">     [ </w:t></w:r><w:r><w:rPr/><w:t xml:space="preserve">ORGO</w:t></w:r><w:r><w:rPr/><w:t xml:space="preserve"> ]   </w:t></w:r></w:p></w:tc><w:tc><w:tcPr><w:tcW w:w="5000" w:type="pct"/><w:vAlign w:val="top"/><w:noWrap/></w:tcPr><w:p><w:pPr/><w:r><w:rPr/><w:t xml:space="preserve">5. Relationship of Reporting Person(s) to Issuer      </w:t></w:r></w:p><w:p/><w:p><w:pPr/><w:r><w:rPr/><w:t xml:space="preserve">(Check all applicable)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5000" w:type="pct"/><w:vAlign w:val="top"/><w:noWrap/></w:tcPr><w:p><w:pPr/><w:r><w:rPr/><w:t xml:space="preserve">3. Date of Earliest Transaction         (Month/Day/Year)</w:t></w:r><w:br/><w:r><w:rPr/><w:t xml:space="preserve">11/18/2021</w:t></w:r></w:p></w:tc></w:tr><w:tr><w:trPr/><w:tc><w:tcPr><w:tcW w:w="5000" w:type="pct"/><w:vAlign w:val="top"/><w:noWrap/></w:tcPr><w:p><w:pPr/><w:r><w:rPr/><w:t xml:space="preserve">4. If Amendment, Date of Original Filed         (Month/Day/Year)</w:t></w:r><w:br/></w:p></w:tc><w:tc><w:tcPr><w:tcW w:w="5000" w:type="pct"/><w:vAlign w:val="top"/><w:noWrap/></w:tcPr><w:p><w:pPr/><w:r><w:rPr/><w:t xml:space="preserve">6. Individual or Joint/Group Filing (Check Applicable Line)      </w:t></w:r></w:p><w:tbl><w:tblGrid><w:gridCol w:w="750" w:type="dxa"/><w:gridCol w:w="42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4250" w:type="pct"/><w:vAlign w:val="top"/><w:noWrap/></w:tcPr><w:p><w:pPr/><w:r><w:rPr/><w:t xml:space="preserve">Form filed by One Reporting Person</w:t></w:r></w:p></w:tc></w:tr><w:tr><w:trPr/><w:tc><w:tcPr><w:tcW w:w="750" w:type="pct"/><w:vAlign w:val="top"/><w:noWrap/></w:tcPr><w:p><w:pPr><w:jc w:val="center"/></w:pPr><w:r><w:rPr/><w:t xml:space="preserve">X</w:t></w:r></w:p></w:tc><w:tc><w:tcPr><w:tcW w:w="4250" w:type="pct"/><w:vAlign w:val="top"/><w:noWrap/></w:tcPr><w:p><w:pPr/><w:r><w:rPr/><w:t xml:space="preserve">Form filed by More than One Reporting Person</w:t></w:r></w:p></w:tc></w:tr></w:tbl><w:p/></w:tc></w:tr></w:tbl><w:tbl><w:tblGrid><w:gridCol w:w="5000" w:type="dxa"/><w:gridCol w:w="5000" w:type="dxa"/><w:gridCol w:w="5000" w:type="dxa"/><w:gridCol w:w="5000" w:type="dxa"/><w:gridCol w:w="5000" w:type="dxa"/><w:gridCol w:w="5000" w:type="dxa"/><w:gridCol w:w="5000" w:type="dxa"/><w:gridCol w:w="5000" w:type="dxa"/><w:gridCol w:w="5000" w:type="dxa"/><w:gridCol w:w="500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1"/><w:noWrap/></w:tcPr><w:p><w:pPr><w:jc w:val="center"/></w:pPr><w:r><w:rPr><w:b w:val="1"/><w:bCs w:val="1"/></w:rPr><w:t xml:space="preserve">Table I - Non-Derivative Securities Acquired, Disposed of, or Beneficially Owned</w:t></w:r></w:p></w:tc></w:tr><w:tr><w:trPr><w:tblHeader w:val="1"/></w:trPr><w:tc><w:tcPr><w:tcW w:w="1800" w:type="pct"/><w:vAlign w:val="top"/><w:noWrap/></w:tcPr><w:p><w:pPr><w:jc w:val="start"/></w:pPr><w:r><w:rPr/><w:t xml:space="preserve">1. Title of Security (Instr.       3)   </w:t></w:r></w:p></w:tc><w:tc><w:tcPr><w:tcW w:w="300" w:type="pct"/><w:vAlign w:val="top"/><w:noWrap/></w:tcPr><w:p><w:pPr><w:jc w:val="start"/></w:pPr><w:r><w:rPr/><w:t xml:space="preserve">2. Transaction Date      (Month/Day/Year)</w:t></w:r></w:p></w:tc><w:tc><w:tcPr><w:tcW w:w="250" w:type="pct"/><w:vAlign w:val="top"/><w:noWrap/></w:tcPr><w:p><w:pPr><w:jc w:val="start"/></w:pPr><w:r><w:rPr/><w:t xml:space="preserve">2A. Deemed Execution Date, if any      (Month/Day/Year)</w:t></w:r></w:p></w:tc><w:tc><w:tcPr><w:tcW w:w="350" w:type="pct"/><w:vAlign w:val="top"/><w:gridSpan w:val="2"/><w:noWrap/></w:tcPr><w:p><w:pPr><w:jc w:val="start"/></w:pPr><w:r><w:rPr/><w:t xml:space="preserve">3. Transaction Code (Instr.       8)   </w:t></w:r></w:p></w:tc><w:tc><w:tcPr><w:tcW w:w="950" w:type="pct"/><w:vAlign w:val="top"/><w:gridSpan w:val="3"/><w:noWrap/></w:tcPr><w:p><w:pPr><w:jc w:val="start"/></w:pPr><w:r><w:rPr/><w:t xml:space="preserve">4. Securities Acquired (A) or Disposed Of (D) (Instr.       3, 4 and 5)   </w:t></w:r></w:p></w:tc><w:tc><w:tcPr><w:tcW w:w="550" w:type="pct"/><w:vAlign w:val="top"/><w:noWrap/></w:tcPr><w:p><w:pPr><w:jc w:val="start"/></w:pPr><w:r><w:rPr/><w:t xml:space="preserve">5.       Amount of Securities Beneficially Owned Following Reported Transaction(s) (Instr.       3 and 4)   </w:t></w:r></w:p></w:tc><w:tc><w:tcPr><w:tcW w:w="450" w:type="pct"/><w:vAlign w:val="top"/><w:noWrap/></w:tcPr><w:p><w:pPr><w:jc w:val="start"/></w:pPr><w:r><w:rPr/><w:t xml:space="preserve">6. Ownership Form: Direct (D) or Indirect (I) (Instr.       4)   </w:t></w:r></w:p></w:tc><w:tc><w:tcPr><w:tcW w:w="400" w:type="pct"/><w:vAlign w:val="top"/><w:noWrap/></w:tcPr><w:p><w:pPr><w:jc w:val="start"/></w:pPr><w:r><w:rPr/><w:t xml:space="preserve">7. Nature of Indirect Beneficial Ownership (Instr.       4)   </w:t></w:r></w:p></w:tc></w:tr><w:tr><w:trPr><w:tblHeader w:val="1"/></w:trPr><w:tc><w:tcPr><w:tcW w:w="200" w:type="pct"/><w:noWrap/></w:tcPr><w:p><w:pPr><w:jc w:val="center"/></w:pPr><w:r><w:rPr/><w:t xml:space="preserve">Code</w:t></w:r></w:p></w:tc><w:tc><w:tcPr><w:tcW w:w="150" w:type="pct"/><w:noWrap/></w:tcPr><w:p><w:pPr><w:jc w:val="center"/></w:pPr><w:r><w:rPr/><w:t xml:space="preserve">V</w:t></w:r></w:p></w:tc><w:tc><w:tcPr><w:tcW w:w="400" w:type="pct"/><w:noWrap/></w:tcPr><w:p><w:pPr><w:jc w:val="center"/></w:pPr><w:r><w:rPr/><w:t xml:space="preserve">Amount</w:t></w:r></w:p></w:tc><w:tc><w:tcPr><w:tcW w:w="250" w:type="pct"/><w:noWrap/></w:tcPr><w:p><w:pPr><w:jc w:val="center"/></w:pPr><w:r><w:rPr/><w:t xml:space="preserve">(A) or (D)</w:t></w:r></w:p></w:tc><w:tc><w:tcPr><w:tcW w:w="300" w:type="pct"/><w:noWrap/></w:tcPr><w:p><w:pPr><w:jc w:val="center"/></w:pPr><w:r><w:rPr/><w:t xml:space="preserve">Price</w:t></w:r></w:p></w:tc></w:tr><w:tr><w:trPr/><w:tc><w:tcPr><w:tcW w:w="5000" w:type="pct"/><w:noWrap/></w:tcPr><w:p><w:pPr><w:jc w:val="start"/></w:pPr><w:r><w:rPr/><w:t xml:space="preserve">Class A Common Stock</w:t></w:r></w:p></w:tc><w:tc><w:tcPr><w:tcW w:w="5000" w:type="pct"/><w:noWrap/></w:tcPr><w:p><w:pPr><w:jc w:val="center"/></w:pPr><w:r><w:rPr/><w:t xml:space="preserve">11/18/2021</w:t></w:r></w:p></w:tc><w:tc><w:tcPr><w:tcW w:w="5000" w:type="pct"/><w:noWrap/></w:tcPr><w:p><w:pPr><w:jc w:val="center"/></w:pPr></w:p></w:tc><w:tc><w:tcPr><w:tcW w:w="5000" w:type="pct"/><w:noWrap/></w:tcPr><w:p><w:pPr><w:jc w:val="center"/></w:pPr><w:r><w:rPr/><w:t xml:space="preserve">P</w:t></w:r></w:p></w:tc><w:tc><w:tcPr><w:tcW w:w="5000" w:type="pct"/><w:noWrap/></w:tcPr><w:p><w:pPr><w:jc w:val="center"/></w:pPr></w:p></w:tc><w:tc><w:tcPr><w:tcW w:w="5000" w:type="pct"/><w:noWrap/></w:tcPr><w:p><w:pPr><w:jc w:val="center"/></w:pPr><w:r><w:rPr/><w:t xml:space="preserve">25,000</w:t></w:r><w:r><w:rPr><w:vertAlign w:val="superscript"/></w:rPr><w:t xml:space="preserve">(1)</w:t></w:r></w:p></w:tc><w:tc><w:tcPr><w:tcW w:w="5000" w:type="pct"/><w:noWrap/></w:tcPr><w:p><w:pPr><w:jc w:val="center"/></w:pPr><w:r><w:rPr/><w:t xml:space="preserve">A</w:t></w:r></w:p></w:tc><w:tc><w:tcPr><w:tcW w:w="5000" w:type="pct"/><w:noWrap/></w:tcPr><w:p><w:pPr><w:jc w:val="center"/></w:pPr><w:r><w:rPr/><w:t xml:space="preserve">$</w:t></w:r><w:r><w:rPr/><w:t xml:space="preserve">9.93</w:t></w:r><w:r><w:rPr><w:vertAlign w:val="superscript"/></w:rPr><w:t xml:space="preserve">(2)</w:t></w:r></w:p></w:tc><w:tc><w:tcPr><w:tcW w:w="5000" w:type="pct"/><w:noWrap/></w:tcPr><w:p><w:pPr><w:jc w:val="center"/></w:pPr><w:r><w:rPr/><w:t xml:space="preserve">59,448,027</w:t></w:r><w:r><w:rPr><w:vertAlign w:val="superscript"/></w:rPr><w:t xml:space="preserve">(3)</w:t></w:r></w:p></w:tc><w:tc><w:tcPr><w:tcW w:w="5000" w:type="pct"/><w:noWrap/></w:tcPr><w:p><w:pPr><w:jc w:val="center"/></w:pPr><w:r><w:rPr/><w:t xml:space="preserve">D</w:t></w:r></w:p></w:tc><w:tc><w:tcPr><w:tcW w:w="5000" w:type="pct"/><w:noWrap/></w:tcPr><w:p><w:pPr><w:jc w:val="start"/></w:pPr></w:p></w:tc></w:tr></w:tbl><w:tbl><w:tblGrid><w:gridCol w:w="650" w:type="dxa"/><w:gridCol w:w="250" w:type="dxa"/><w:gridCol w:w="250" w:type="dxa"/><w:gridCol w:w="250" w:type="dxa"/><w:gridCol w:w="450" w:type="dxa"/><w:gridCol w:w="500" w:type="dxa"/><w:gridCol w:w="450" w:type="dxa"/><w:gridCol w:w="850" w:type="dxa"/><w:gridCol w:w="300" w:type="dxa"/><w:gridCol w:w="300" w:type="dxa"/><w:gridCol w:w="300" w:type="dxa"/><w:gridCol w:w="35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6"/><w:noWrap/></w:tcPr><w:p><w:pPr><w:jc w:val="center"/></w:pPr><w:r><w:rPr><w:b w:val="1"/><w:bCs w:val="1"/></w:rPr><w:t xml:space="preserve">Table II - Derivative Securities Acquired, Disposed of, or Beneficially Owned</w:t></w:r><w:br/><w:r><w:rPr><w:b w:val="1"/><w:bCs w:val="1"/></w:rPr><w:t xml:space="preserve">(e.g., puts, calls, warrants, options, convertible securities)</w:t></w:r></w:p></w:tc></w:tr><w:tr><w:trPr><w:tblHeader w:val="1"/></w:trPr><w:tc><w:tcPr><w:tcW w:w="650" w:type="pct"/><w:vAlign w:val="top"/><w:noWrap/></w:tcPr><w:p><w:pPr><w:jc w:val="start"/></w:pPr><w:r><w:rPr/><w:t xml:space="preserve">1. Title of Derivative Security (Instr.       3)   </w:t></w:r></w:p></w:tc><w:tc><w:tcPr><w:tcW w:w="250" w:type="pct"/><w:vAlign w:val="top"/><w:noWrap/></w:tcPr><w:p><w:pPr><w:jc w:val="start"/></w:pPr><w:r><w:rPr/><w:t xml:space="preserve">2. Conversion or Exercise Price of Derivative Security   </w:t></w:r></w:p></w:tc><w:tc><w:tcPr><w:tcW w:w="250" w:type="pct"/><w:vAlign w:val="top"/><w:noWrap/></w:tcPr><w:p><w:pPr><w:jc w:val="start"/></w:pPr><w:r><w:rPr/><w:t xml:space="preserve">3. Transaction Date      (Month/Day/Year)</w:t></w:r></w:p></w:tc><w:tc><w:tcPr><w:tcW w:w="250" w:type="pct"/><w:vAlign w:val="top"/><w:noWrap/></w:tcPr><w:p><w:pPr><w:jc w:val="start"/></w:pPr><w:r><w:rPr/><w:t xml:space="preserve">3A. Deemed Execution Date, if any      (Month/Day/Year)</w:t></w:r></w:p></w:tc><w:tc><w:tcPr><w:tcW w:w="450" w:type="pct"/><w:vAlign w:val="top"/><w:gridSpan w:val="2"/><w:noWrap/></w:tcPr><w:p><w:pPr><w:jc w:val="start"/></w:pPr><w:r><w:rPr/><w:t xml:space="preserve">4. Transaction Code (Instr.       8)   </w:t></w:r></w:p></w:tc><w:tc><w:tcPr><w:tcW w:w="500" w:type="pct"/><w:vAlign w:val="top"/><w:gridSpan w:val="2"/><w:noWrap/></w:tcPr><w:p><w:pPr><w:jc w:val="start"/></w:pPr><w:r><w:rPr/><w:t xml:space="preserve">5.       Number of Derivative Securities Acquired (A) or Disposed of (D) (Instr.       3, 4 and 5)   </w:t></w:r></w:p></w:tc><w:tc><w:tcPr><w:tcW w:w="450" w:type="pct"/><w:vAlign w:val="top"/><w:gridSpan w:val="2"/><w:noWrap/></w:tcPr><w:p><w:pPr><w:jc w:val="start"/></w:pPr><w:r><w:rPr/><w:t xml:space="preserve">6. Date Exercisable and Expiration Date       (Month/Day/Year)</w:t></w:r></w:p></w:tc><w:tc><w:tcPr><w:tcW w:w="850" w:type="pct"/><w:vAlign w:val="top"/><w:gridSpan w:val="2"/><w:noWrap/></w:tcPr><w:p><w:pPr><w:jc w:val="start"/></w:pPr><w:r><w:rPr/><w:t xml:space="preserve">7. Title and Amount of Securities Underlying Derivative Security (Instr.       3 and 4)   </w:t></w:r></w:p></w:tc><w:tc><w:tcPr><w:tcW w:w="300" w:type="pct"/><w:vAlign w:val="top"/><w:noWrap/></w:tcPr><w:p><w:pPr><w:jc w:val="start"/></w:pPr><w:r><w:rPr/><w:t xml:space="preserve">8. Price of Derivative Security (Instr.       5)   </w:t></w:r></w:p></w:tc><w:tc><w:tcPr><w:tcW w:w="300" w:type="pct"/><w:vAlign w:val="top"/><w:noWrap/></w:tcPr><w:p><w:pPr><w:jc w:val="start"/></w:pPr><w:r><w:rPr/><w:t xml:space="preserve">9.       Number of derivative Securities Beneficially Owned Following Reported Transaction(s) (Instr.       4)   </w:t></w:r></w:p></w:tc><w:tc><w:tcPr><w:tcW w:w="300" w:type="pct"/><w:vAlign w:val="top"/><w:noWrap/></w:tcPr><w:p><w:pPr><w:jc w:val="start"/></w:pPr><w:r><w:rPr/><w:t xml:space="preserve">10. Ownership Form: Direct (D) or Indirect (I) (Instr.       4)   </w:t></w:r></w:p></w:tc><w:tc><w:tcPr><w:tcW w:w="350" w:type="pct"/><w:vAlign w:val="top"/><w:noWrap/></w:tcPr><w:p><w:pPr><w:jc w:val="start"/></w:pPr><w:r><w:rPr/><w:t xml:space="preserve">11. Nature of Indirect Beneficial Ownership (Instr.       4)   </w:t></w:r></w:p></w:tc></w:tr><w:tr><w:trPr><w:tblHeader w:val="1"/></w:trPr><w:tc><w:tcPr><w:tcW w:w="200" w:type="pct"/><w:vAlign w:val="bottom"/><w:noWrap/></w:tcPr><w:p><w:pPr><w:jc w:val="center"/></w:pPr><w:r><w:rPr/><w:t xml:space="preserve">Code</w:t></w:r></w:p></w:tc><w:tc><w:tcPr><w:tcW w:w="200" w:type="pct"/><w:vAlign w:val="bottom"/><w:noWrap/></w:tcPr><w:p><w:pPr><w:jc w:val="center"/></w:pPr><w:r><w:rPr/><w:t xml:space="preserve">V</w:t></w:r></w:p></w:tc><w:tc><w:tcPr><w:tcW w:w="250" w:type="pct"/><w:vAlign w:val="bottom"/><w:noWrap/></w:tcPr><w:p><w:pPr><w:jc w:val="center"/></w:pPr><w:r><w:rPr/><w:t xml:space="preserve">(A)</w:t></w:r></w:p></w:tc><w:tc><w:tcPr><w:tcW w:w="250" w:type="pct"/><w:vAlign w:val="bottom"/><w:noWrap/></w:tcPr><w:p><w:pPr><w:jc w:val="center"/></w:pPr><w:r><w:rPr/><w:t xml:space="preserve">(D)</w:t></w:r></w:p></w:tc><w:tc><w:tcPr><w:tcW w:w="250" w:type="pct"/><w:vAlign w:val="bottom"/><w:noWrap/></w:tcPr><w:p><w:pPr><w:jc w:val="center"/></w:pPr><w:r><w:rPr/><w:t xml:space="preserve">Date Exercisable</w:t></w:r></w:p></w:tc><w:tc><w:tcPr><w:tcW w:w="200" w:type="pct"/><w:vAlign w:val="bottom"/><w:noWrap/></w:tcPr><w:p><w:pPr><w:jc w:val="center"/></w:pPr><w:r><w:rPr/><w:t xml:space="preserve">Expiration Date</w:t></w:r></w:p></w:tc><w:tc><w:tcPr><w:tcW w:w="500" w:type="pct"/><w:vAlign w:val="bottom"/><w:noWrap/></w:tcPr><w:p><w:pPr><w:jc w:val="center"/></w:pPr><w:r><w:rPr/><w:t xml:space="preserve">Title</w:t></w:r></w:p></w:tc><w:tc><w:tcPr><w:tcW w:w="350" w:type="pct"/><w:vAlign w:val="bottom"/><w:noWrap/></w:tcPr><w:p><w:pPr><w:jc w:val="center"/></w:pPr><w:r><w:rPr/><w:t xml:space="preserve">Amount or Number of Shares</w:t></w:r></w:p></w:tc></w:tr></w:tbl><w:tbl><w:tblGrid><w:gridCol w:w="2000" w:type="dxa"/></w:tblGrid><w:tblPr><w:tblW w:w="2000" w:type="pct"/><w:tblCellSpacing w:w="0" w:type="dxa"/><w:tblLayout w:type="autofit"/><w:tblBorders><w:top w:val="single" w:sz="15"/><w:left w:val="single" w:sz="15"/><w:right w:val="single" w:sz="15"/><w:bottom w:val="single" w:sz="15"/><w:insideH w:val="single" w:sz="15"/><w:insideV w:val="single" w:sz="15"/></w:tblBorders></w:tblP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NUSSDORF GLENN H</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35 SAWGRASS DRIVE</w:t></w:r></w:p></w:tc></w:tr><w:tr><w:trPr/><w:tc><w:tcPr><w:tcW w:w="5000" w:type="pct"/><w:vAlign w:val="top"/><w:noWrap/></w:tcPr><w:p><w:pP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BELLPORT</w:t></w:r></w:p></w:tc><w:tc><w:tcPr><w:tcW w:w="1650" w:type="pct"/><w:vAlign w:val="top"/><w:noWrap/></w:tcPr><w:p><w:pPr/><w:r><w:rPr/><w:t xml:space="preserve">NY</w:t></w:r></w:p></w:tc><w:tc><w:tcPr><w:tcW w:w="1650" w:type="pct"/><w:vAlign w:val="top"/><w:noWrap/></w:tcPr><w:p><w:pPr/><w:r><w:rPr/><w:t xml:space="preserve">11713</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9" w:history="1"><w:r><w:rPr/><w:t xml:space="preserve">Erani Dennis</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0" w:history="1"><w:r><w:rPr/><w:t xml:space="preserve">Albert Erani Family Trust dated 12/29/2012</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1" w:history="1"><w:r><w:rPr/><w:t xml:space="preserve">Ades Alan A.</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2" w:history="1"><w:r><w:rPr/><w:t xml:space="preserve">Organo PFG LLC</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3" w:history="1"><w:r><w:rPr/><w:t xml:space="preserve">Organo Investors LLC</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4" w:history="1"><w:r><w:rPr/><w:t xml:space="preserve">Alan Ades 2014 GRAT</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5" w:history="1"><w:r><w:rPr/><w:t xml:space="preserve">Dennis Erani 2012 Issue Trust dated 12/20/12</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6" w:history="1"><w:r><w:rPr/><w:t xml:space="preserve">ERANI ALBERT</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7" w:history="1"><w:r><w:rPr/><w:t xml:space="preserve">Wisdom Starr</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44 WILSON STREET</w:t></w:r></w:p></w:tc></w:tr><w:tr><w:trPr/><w:tc><w:tcPr><w:tcW w:w="5000" w:type="pct"/><w:vAlign w:val="top"/><w:noWrap/></w:tcPr><w:p><w:pP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HARTSDALE</w:t></w:r></w:p></w:tc><w:tc><w:tcPr><w:tcW w:w="1650" w:type="pct"/><w:vAlign w:val="top"/><w:noWrap/></w:tcPr><w:p><w:pPr/><w:r><w:rPr/><w:t xml:space="preserve">NY</w:t></w:r></w:p></w:tc><w:tc><w:tcPr><w:tcW w:w="1650" w:type="pct"/><w:vAlign w:val="top"/><w:noWrap/></w:tcPr><w:p><w:pPr/><w:r><w:rPr/><w:t xml:space="preserve">10530</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b w:val="1"/><w:bCs w:val="1"/></w:rPr><w:t xml:space="preserve">Explanation of Responses:</w:t></w:r></w:p></w:tc></w:tr><w:tr><w:trPr/><w:tc><w:tcPr><w:tcW w:w="5000" w:type="pct"/><w:noWrap/></w:tcPr><w:p><w:pPr/><w:r><w:rPr/><w:t xml:space="preserve">1. The reported securities were purchased and held directly by Glenn H. Nussdorf, who is a member of the Group (as defined below).</w:t></w:r></w:p></w:tc></w:tr><w:tr><w:trPr/><w:tc><w:tcPr><w:tcW w:w="5000" w:type="pct"/><w:noWrap/></w:tcPr><w:p><w:pPr/><w:r><w:rPr/><w:t xml:space="preserve">2. The price reported in Column 4 is a weighted-average price. These shares were purchased in multiple transactions at prices ranging from $9.89 to $9.95,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(2) to this Form 4.</w:t></w:r></w:p></w:tc></w:tr><w:tr><w:trPr/><w:tc><w:tcPr><w:tcW w:w="5000" w:type="pct"/><w:noWrap/></w:tcPr><w:p><w:pPr/><w:r><w:rPr/><w:t xml:space="preserve">3. Reflects the total number of securities held by the Group.</w:t></w:r></w:p></w:tc></w:tr><w:tr><w:trPr/><w:tc><w:tcPr><w:tcW w:w="5000" w:type="pct"/><w:noWrap/></w:tcPr><w:p><w:pPr/><w:r><w:rPr><w:b w:val="1"/><w:bCs w:val="1"/></w:rPr><w:t xml:space="preserve">Remarks:</w:t></w:r></w:p></w:tc></w:tr><w:tr><w:trPr/><w:tc><w:tcPr><w:tcW w:w="5000" w:type="pct"/><w:noWrap/></w:tcPr><w:p><w:pPr/><w:r><w:rPr/><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and GN 2016 Organo 10-Year GRAT u/a/d September 30, 2016, referred to collectively as the "Group", are parties to a Controlling Stockholders' Agreement dated December 10, 2018 with Organogenesis Holdings Inc. (the "Stockholders' Agreement").  The Stockholders' Agreement, among other things, provides for nomination rights of the Group with respect to four directors of the Issuer. As a result of the Stockholders' Agreement, the reporting persons may be deemed to be members of a group holding over 10% of the outstanding shares of common stock of the issuer for purposes of Section 13(d) of the Securities Exchange Act of 1934, as amended.This is Form 4 No. 1 of 2 filed for the Group.</w:t></w:r></w:p></w:tc></w:tr></w:tbl><w:tbl><w:tblGrid><w:gridCol w:w="3000" w:type="dxa"/><w:gridCol w:w="1000" w:type="dxa"/><w:gridCol w:w="1000" w:type="dxa"/></w:tblGrid><w:tblPr><w:tblW w:w="5000" w:type="pct"/><w:tblLayout w:type="autofit"/><w:tblBorders><w:top w:val="single" w:sz="0"/><w:left w:val="single" w:sz="0"/><w:right w:val="single" w:sz="0"/><w:bottom w:val="single" w:sz="0"/><w:insideH w:val="single" w:sz="0"/><w:insideV w:val="single" w:sz="0"/></w:tblBorders></w:tblPr><w:tr><w:trPr/><w:tc><w:tcPr><w:tcW w:w="3000" w:type="pct"/><w:noWrap/></w:tcPr><w:p><w:pPr/></w:p></w:tc><w:tc><w:tcPr><w:tcW w:w="1000" w:type="pct"/><w:noWrap/></w:tcPr><w:p><w:pPr/><w:r><w:rPr><w:u w:val="single"/></w:rPr><w:t xml:space="preserve">/s/ William R. Kolb, Attorney-in-Fact</w:t></w:r></w:p></w:tc><w:tc><w:tcPr><w:tcW w:w="1000" w:type="pct"/><w:noWrap/></w:tcPr><w:p><w:pPr/><w:r><w:rPr><w:u w:val="single"/></w:rPr><w:t xml:space="preserve">11/22/2021</w:t></w:r></w:p></w:tc></w:tr><w:tr><w:trPr/><w:tc><w:tcPr><w:tcW w:w="5000" w:type="pct"/><w:noWrap/></w:tcPr><w:p><w:pPr/></w:p></w:tc><w:tc><w:tcPr><w:tcW w:w="5000" w:type="pct"/><w:noWrap/></w:tcPr><w:p><w:pPr/><w:r><w:rPr/><w:t xml:space="preserve">** Signature of Reporting Person</w:t></w:r></w:p></w:tc><w:tc><w:tcPr><w:tcW w:w="5000" w:type="pct"/><w:noWrap/></w:tcPr><w:p><w:pPr/><w:r><w:rPr/><w:t xml:space="preserve">Date</w:t></w:r></w:p></w:tc></w:tr><w:tr><w:trPr/><w:tc><w:tcPr><w:tcW w:w="5000" w:type="pct"/><w:gridSpan w:val="3"/><w:noWrap/></w:tcPr><w:p><w:pPr/><w:r><w:rPr/><w:t xml:space="preserve">Reminder: Report on a separate line for each class of securities beneficially owned directly or indirectly.</w:t></w:r></w:p></w:tc></w:tr><w:tr><w:trPr/><w:tc><w:tcPr><w:tcW w:w="5000" w:type="pct"/><w:gridSpan w:val="3"/><w:noWrap/></w:tcPr><w:p><w:pPr/><w:r><w:rPr/><w:t xml:space="preserve">* If the form is filed by more than one reporting person,                   </w:t></w:r><w:r><w:rPr><w:i w:val="1"/><w:iCs w:val="1"/></w:rPr><w:t xml:space="preserve">see</w:t></w:r><w:r><w:rPr/><w:t xml:space="preserve">                  Instruction                   4                  (b)(v).</w:t></w:r></w:p></w:tc></w:tr><w:tr><w:trPr/><w:tc><w:tcPr><w:tcW w:w="5000" w:type="pct"/><w:gridSpan w:val="3"/><w:noWrap/></w:tcPr><w:p><w:pPr/><w:r><w:rPr/><w:t xml:space="preserve">** Intentional misstatements or omissions of facts constitute Federal Criminal Violations                   </w:t></w:r><w:r><w:rPr><w:i w:val="1"/><w:iCs w:val="1"/></w:rPr><w:t xml:space="preserve">See</w:t></w:r><w:r><w:rPr/><w:t xml:space="preserve">                  18 U.S.C. 1001 and 15 U.S.C. 78ff(a).</w:t></w:r></w:p></w:tc></w:tr><w:tr><w:trPr/><w:tc><w:tcPr><w:tcW w:w="5000" w:type="pct"/><w:gridSpan w:val="3"/><w:noWrap/></w:tcPr><w:p><w:pPr/><w:r><w:rPr/><w:t xml:space="preserve">Note: File three copies of this Form, one of which must be manually signed. If space is insufficient,                   </w:t></w:r><w:r><w:rPr><w:i w:val="1"/><w:iCs w:val="1"/></w:rPr><w:t xml:space="preserve">see</w:t></w:r><w:r><w:rPr/><w:t xml:space="preserve">                  Instruction 6 for procedure.</w:t></w:r></w:p></w:tc></w:tr><w:tr><w:trPr/><w:tc><w:tcPr><w:tcW w:w="5000" w:type="pct"/><w:gridSpan w:val="3"/><w:noWrap/></w:tcPr><w:p><w:pPr/><w:r><w:rPr><w:b w:val="1"/><w:bCs w:val="1"/></w:rPr><w:t xml:space="preserve">Persons who respond to the collection of information contained in this form are not required to respond unless the form displays a currently valid OMB Number.</w:t></w:r></w:p></w:tc></w:tr></w:tbl><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244191"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760685" TargetMode="External"/><Relationship Id="rId10" Type="http://schemas.openxmlformats.org/officeDocument/2006/relationships/hyperlink" Target="/cgi-bin/browse-edgar?action=getcompany&amp;CIK=0001760663" TargetMode="External"/><Relationship Id="rId11" Type="http://schemas.openxmlformats.org/officeDocument/2006/relationships/hyperlink" Target="/cgi-bin/browse-edgar?action=getcompany&amp;CIK=0001757286" TargetMode="External"/><Relationship Id="rId12" Type="http://schemas.openxmlformats.org/officeDocument/2006/relationships/hyperlink" Target="/cgi-bin/browse-edgar?action=getcompany&amp;CIK=0001757580" TargetMode="External"/><Relationship Id="rId13" Type="http://schemas.openxmlformats.org/officeDocument/2006/relationships/hyperlink" Target="/cgi-bin/browse-edgar?action=getcompany&amp;CIK=0001757573" TargetMode="External"/><Relationship Id="rId14" Type="http://schemas.openxmlformats.org/officeDocument/2006/relationships/hyperlink" Target="/cgi-bin/browse-edgar?action=getcompany&amp;CIK=0001757567" TargetMode="External"/><Relationship Id="rId15" Type="http://schemas.openxmlformats.org/officeDocument/2006/relationships/hyperlink" Target="/cgi-bin/browse-edgar?action=getcompany&amp;CIK=0001757455" TargetMode="External"/><Relationship Id="rId16" Type="http://schemas.openxmlformats.org/officeDocument/2006/relationships/hyperlink" Target="/cgi-bin/browse-edgar?action=getcompany&amp;CIK=0001074084" TargetMode="External"/><Relationship Id="rId17" Type="http://schemas.openxmlformats.org/officeDocument/2006/relationships/hyperlink" Target="/cgi-bin/browse-edgar?action=getcompany&amp;CIK=00017606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2026-08-07T07:24:18-04:00</dcterms:created>
  <dcterms:modified xsi:type="dcterms:W3CDTF">2026-08-07T07:24:18-04:00</dcterms:modified>
</cp:coreProperties>
</file>

<file path=docProps/custom.xml><?xml version="1.0" encoding="utf-8"?>
<Properties xmlns="http://schemas.openxmlformats.org/officeDocument/2006/custom-properties" xmlns:vt="http://schemas.openxmlformats.org/officeDocument/2006/docPropsVTypes"/>
</file>