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06/01/2022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06/01/2022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94,487</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492,729</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06/01/2022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94,487</w:t>
            </w:r>
          </w:p>
        </w:tc>
        <w:tc>
          <w:tcPr>
            <w:tcW w:w="5000" w:type="pct"/>
            <w:noWrap/>
          </w:tcPr>
          <w:p>
            <w:pPr>
              <w:jc w:val="center"/>
            </w:pPr>
            <w:r>
              <w:rPr/>
              <w:t xml:space="preserve">D</w:t>
            </w:r>
          </w:p>
        </w:tc>
        <w:tc>
          <w:tcPr>
            <w:tcW w:w="5000" w:type="pct"/>
            <w:noWrap/>
          </w:tcPr>
          <w:p>
            <w:pPr>
              <w:jc w:val="center"/>
            </w:pPr>
            <w:r>
              <w:rPr/>
              <w:t xml:space="preserve">$</w:t>
            </w:r>
            <w:r>
              <w:rPr/>
              <w:t xml:space="preserve">5.52</w:t>
            </w:r>
            <w:r>
              <w:rPr>
                <w:vertAlign w:val="superscript"/>
              </w:rPr>
              <w:t xml:space="preserve">(2)</w:t>
            </w:r>
          </w:p>
        </w:tc>
        <w:tc>
          <w:tcPr>
            <w:tcW w:w="5000" w:type="pct"/>
            <w:noWrap/>
          </w:tcPr>
          <w:p>
            <w:pPr>
              <w:jc w:val="center"/>
            </w:pPr>
            <w:r>
              <w:rPr/>
              <w:t xml:space="preserve">398,242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06/02/2022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116,608</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514,850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06/02/2022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116,608</w:t>
            </w:r>
          </w:p>
        </w:tc>
        <w:tc>
          <w:tcPr>
            <w:tcW w:w="5000" w:type="pct"/>
            <w:noWrap/>
          </w:tcPr>
          <w:p>
            <w:pPr>
              <w:jc w:val="center"/>
            </w:pPr>
            <w:r>
              <w:rPr/>
              <w:t xml:space="preserve">D</w:t>
            </w:r>
          </w:p>
        </w:tc>
        <w:tc>
          <w:tcPr>
            <w:tcW w:w="5000" w:type="pct"/>
            <w:noWrap/>
          </w:tcPr>
          <w:p>
            <w:pPr>
              <w:jc w:val="center"/>
            </w:pPr>
            <w:r>
              <w:rPr/>
              <w:t xml:space="preserve">$</w:t>
            </w:r>
            <w:r>
              <w:rPr/>
              <w:t xml:space="preserve">5.58</w:t>
            </w:r>
            <w:r>
              <w:rPr>
                <w:vertAlign w:val="superscript"/>
              </w:rPr>
              <w:t xml:space="preserve">(3)</w:t>
            </w:r>
          </w:p>
        </w:tc>
        <w:tc>
          <w:tcPr>
            <w:tcW w:w="5000" w:type="pct"/>
            <w:noWrap/>
          </w:tcPr>
          <w:p>
            <w:pPr>
              <w:jc w:val="center"/>
            </w:pPr>
            <w:r>
              <w:rPr/>
              <w:t xml:space="preserve">398,242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06/03/2022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36,239</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434,481</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06/03/2022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36,239</w:t>
            </w:r>
          </w:p>
        </w:tc>
        <w:tc>
          <w:tcPr>
            <w:tcW w:w="5000" w:type="pct"/>
            <w:noWrap/>
          </w:tcPr>
          <w:p>
            <w:pPr>
              <w:jc w:val="center"/>
            </w:pPr>
            <w:r>
              <w:rPr/>
              <w:t xml:space="preserve">D</w:t>
            </w:r>
          </w:p>
        </w:tc>
        <w:tc>
          <w:tcPr>
            <w:tcW w:w="5000" w:type="pct"/>
            <w:noWrap/>
          </w:tcPr>
          <w:p>
            <w:pPr>
              <w:jc w:val="center"/>
            </w:pPr>
            <w:r>
              <w:rPr/>
              <w:t xml:space="preserve">$</w:t>
            </w:r>
            <w:r>
              <w:rPr/>
              <w:t xml:space="preserve">5.53</w:t>
            </w:r>
            <w:r>
              <w:rPr>
                <w:vertAlign w:val="superscript"/>
              </w:rPr>
              <w:t xml:space="preserve">(4)</w:t>
            </w:r>
          </w:p>
        </w:tc>
        <w:tc>
          <w:tcPr>
            <w:tcW w:w="5000" w:type="pct"/>
            <w:noWrap/>
          </w:tcPr>
          <w:p>
            <w:pPr>
              <w:jc w:val="center"/>
            </w:pPr>
            <w:r>
              <w:rPr/>
              <w:t xml:space="preserve">398,242</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06/01/2022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94,487</w:t>
            </w:r>
          </w:p>
        </w:tc>
        <w:tc>
          <w:tcPr>
            <w:tcW w:w="5000" w:type="pct"/>
            <w:noWrap/>
          </w:tcPr>
          <w:p>
            <w:pPr>
              <w:jc w:val="center"/>
            </w:pPr>
            <w:r>
              <w:rPr/>
              <w:t xml:space="preserve">                            </w:t>
            </w:r>
            <w:r>
              <w:rPr>
                <w:vertAlign w:val="superscript"/>
              </w:rPr>
              <w:t xml:space="preserve">(5)</w:t>
            </w:r>
          </w:p>
        </w:tc>
        <w:tc>
          <w:tcPr>
            <w:tcW w:w="5000" w:type="pct"/>
            <w:noWrap/>
          </w:tcPr>
          <w:p>
            <w:pPr>
              <w:jc w:val="center"/>
            </w:pPr>
            <w:r>
              <w:rPr/>
              <w:t xml:space="preserve">08/21/2024</w:t>
            </w:r>
          </w:p>
        </w:tc>
        <w:tc>
          <w:tcPr>
            <w:tcW w:w="5000" w:type="pct"/>
            <w:noWrap/>
          </w:tcPr>
          <w:p>
            <w:pPr>
              <w:jc w:val="center"/>
            </w:pPr>
            <w:r>
              <w:rPr/>
              <w:t xml:space="preserve">Class A Common Stock</w:t>
            </w:r>
          </w:p>
        </w:tc>
        <w:tc>
          <w:tcPr>
            <w:tcW w:w="5000" w:type="pct"/>
            <w:noWrap/>
          </w:tcPr>
          <w:p>
            <w:pPr>
              <w:jc w:val="center"/>
            </w:pPr>
            <w:r>
              <w:rPr/>
              <w:t xml:space="preserve">94,487</w:t>
            </w:r>
          </w:p>
        </w:tc>
        <w:tc>
          <w:tcPr>
            <w:tcW w:w="5000" w:type="pct"/>
            <w:noWrap/>
          </w:tcPr>
          <w:p>
            <w:pPr>
              <w:jc w:val="center"/>
            </w:pPr>
            <w:r>
              <w:rPr/>
              <w:t xml:space="preserve">$</w:t>
            </w:r>
            <w:r>
              <w:rPr/>
              <w:t xml:space="preserve">0</w:t>
            </w:r>
          </w:p>
        </w:tc>
        <w:tc>
          <w:tcPr>
            <w:tcW w:w="5000" w:type="pct"/>
            <w:noWrap/>
          </w:tcPr>
          <w:p>
            <w:pPr>
              <w:jc w:val="center"/>
            </w:pPr>
            <w:r>
              <w:rPr/>
              <w:t xml:space="preserve">152,847</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06/02/2022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116,608</w:t>
            </w:r>
          </w:p>
        </w:tc>
        <w:tc>
          <w:tcPr>
            <w:tcW w:w="5000" w:type="pct"/>
            <w:noWrap/>
          </w:tcPr>
          <w:p>
            <w:pPr>
              <w:jc w:val="center"/>
            </w:pPr>
            <w:r>
              <w:rPr/>
              <w:t xml:space="preserve">                            </w:t>
            </w:r>
            <w:r>
              <w:rPr>
                <w:vertAlign w:val="superscript"/>
              </w:rPr>
              <w:t xml:space="preserve">(5)</w:t>
            </w:r>
          </w:p>
        </w:tc>
        <w:tc>
          <w:tcPr>
            <w:tcW w:w="5000" w:type="pct"/>
            <w:noWrap/>
          </w:tcPr>
          <w:p>
            <w:pPr>
              <w:jc w:val="center"/>
            </w:pPr>
            <w:r>
              <w:rPr/>
              <w:t xml:space="preserve">08/21/2024</w:t>
            </w:r>
          </w:p>
        </w:tc>
        <w:tc>
          <w:tcPr>
            <w:tcW w:w="5000" w:type="pct"/>
            <w:noWrap/>
          </w:tcPr>
          <w:p>
            <w:pPr>
              <w:jc w:val="center"/>
            </w:pPr>
            <w:r>
              <w:rPr/>
              <w:t xml:space="preserve">Class A Common Stock</w:t>
            </w:r>
          </w:p>
        </w:tc>
        <w:tc>
          <w:tcPr>
            <w:tcW w:w="5000" w:type="pct"/>
            <w:noWrap/>
          </w:tcPr>
          <w:p>
            <w:pPr>
              <w:jc w:val="center"/>
            </w:pPr>
            <w:r>
              <w:rPr/>
              <w:t xml:space="preserve">116,608</w:t>
            </w:r>
          </w:p>
        </w:tc>
        <w:tc>
          <w:tcPr>
            <w:tcW w:w="5000" w:type="pct"/>
            <w:noWrap/>
          </w:tcPr>
          <w:p>
            <w:pPr>
              <w:jc w:val="center"/>
            </w:pPr>
            <w:r>
              <w:rPr/>
              <w:t xml:space="preserve">$</w:t>
            </w:r>
            <w:r>
              <w:rPr/>
              <w:t xml:space="preserve">0</w:t>
            </w:r>
          </w:p>
        </w:tc>
        <w:tc>
          <w:tcPr>
            <w:tcW w:w="5000" w:type="pct"/>
            <w:noWrap/>
          </w:tcPr>
          <w:p>
            <w:pPr>
              <w:jc w:val="center"/>
            </w:pPr>
            <w:r>
              <w:rPr/>
              <w:t xml:space="preserve">36,239</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06/03/2022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36,239</w:t>
            </w:r>
          </w:p>
        </w:tc>
        <w:tc>
          <w:tcPr>
            <w:tcW w:w="5000" w:type="pct"/>
            <w:noWrap/>
          </w:tcPr>
          <w:p>
            <w:pPr>
              <w:jc w:val="center"/>
            </w:pPr>
            <w:r>
              <w:rPr/>
              <w:t xml:space="preserve">                            </w:t>
            </w:r>
            <w:r>
              <w:rPr>
                <w:vertAlign w:val="superscript"/>
              </w:rPr>
              <w:t xml:space="preserve">(5)</w:t>
            </w:r>
          </w:p>
        </w:tc>
        <w:tc>
          <w:tcPr>
            <w:tcW w:w="5000" w:type="pct"/>
            <w:noWrap/>
          </w:tcPr>
          <w:p>
            <w:pPr>
              <w:jc w:val="center"/>
            </w:pPr>
            <w:r>
              <w:rPr/>
              <w:t xml:space="preserve">08/21/2024</w:t>
            </w:r>
          </w:p>
        </w:tc>
        <w:tc>
          <w:tcPr>
            <w:tcW w:w="5000" w:type="pct"/>
            <w:noWrap/>
          </w:tcPr>
          <w:p>
            <w:pPr>
              <w:jc w:val="center"/>
            </w:pPr>
            <w:r>
              <w:rPr/>
              <w:t xml:space="preserve">Class A Common Stock</w:t>
            </w:r>
          </w:p>
        </w:tc>
        <w:tc>
          <w:tcPr>
            <w:tcW w:w="5000" w:type="pct"/>
            <w:noWrap/>
          </w:tcPr>
          <w:p>
            <w:pPr>
              <w:jc w:val="center"/>
            </w:pPr>
            <w:r>
              <w:rPr/>
              <w:t xml:space="preserve">36,239</w:t>
            </w:r>
          </w:p>
        </w:tc>
        <w:tc>
          <w:tcPr>
            <w:tcW w:w="5000" w:type="pct"/>
            <w:noWrap/>
          </w:tcPr>
          <w:p>
            <w:pPr>
              <w:jc w:val="center"/>
            </w:pPr>
            <w:r>
              <w:rPr/>
              <w:t xml:space="preserve">$</w:t>
            </w:r>
            <w:r>
              <w:rPr/>
              <w:t xml:space="preserve">0</w:t>
            </w:r>
          </w:p>
        </w:tc>
        <w:tc>
          <w:tcPr>
            <w:tcW w:w="5000" w:type="pct"/>
            <w:noWrap/>
          </w:tcPr>
          <w:p>
            <w:pPr>
              <w:jc w:val="center"/>
            </w:pPr>
            <w:r>
              <w:rPr/>
              <w:t xml:space="preserve">0</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sales reported in this Form 4 were effected pursuant to a Rule 10b5-1 trading plan adopted by the reporting person in March 2022.</w:t>
            </w:r>
          </w:p>
        </w:tc>
      </w:tr>
      <w:tr>
        <w:trPr/>
        <w:tc>
          <w:tcPr>
            <w:tcW w:w="5000" w:type="pct"/>
            <w:noWrap/>
          </w:tcPr>
          <w:p>
            <w:pPr/>
            <w:r>
              <w:rPr/>
              <w:t xml:space="preserve">2. The price reported in Column 4 is a weighted-average price. These shares were sold in multiple transactions at prices ranging from $5.45 to $5.66,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The price reported in Column 4 is a weighted-average price. These shares were sold in multiple transactions at prices ranging from $5.44 to $5.73,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(3) to this Form 4.</w:t>
            </w:r>
          </w:p>
        </w:tc>
      </w:tr>
      <w:tr>
        <w:trPr/>
        <w:tc>
          <w:tcPr>
            <w:tcW w:w="5000" w:type="pct"/>
            <w:noWrap/>
          </w:tcPr>
          <w:p>
            <w:pPr/>
            <w:r>
              <w:rPr/>
              <w:t xml:space="preserve">4. The price reported in Column 4 is a weighted-average price. These shares were sold in multiple transactions at prices ranging from $5.44 to $5.62,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(4) to this Form 4.</w:t>
            </w:r>
          </w:p>
        </w:tc>
      </w:tr>
      <w:tr>
        <w:trPr/>
        <w:tc>
          <w:tcPr>
            <w:tcW w:w="5000" w:type="pct"/>
            <w:noWrap/>
          </w:tcPr>
          <w:p>
            <w:pPr/>
            <w:r>
              <w:rPr/>
              <w:t xml:space="preserve">5. 100% of the shares subject to the option are fully vested and exercisable.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06/03/2022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2026-08-07T07:23:42-04:00</dcterms:created>
  <dcterms:modified xsi:type="dcterms:W3CDTF">2026-08-07T07:23:42-04:00</dcterms:modified>
</cp:coreProperties>
</file>

<file path=docProps/custom.xml><?xml version="1.0" encoding="utf-8"?>
<Properties xmlns="http://schemas.openxmlformats.org/officeDocument/2006/custom-properties" xmlns:vt="http://schemas.openxmlformats.org/officeDocument/2006/docPropsVTypes"/>
</file>