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01/09/2024</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01/09/2024</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197,921</w:t>
            </w:r>
          </w:p>
        </w:tc>
        <w:tc>
          <w:tcPr>
            <w:tcW w:w="5000" w:type="pct"/>
            <w:noWrap/>
          </w:tcPr>
          <w:p>
            <w:pPr>
              <w:jc w:val="center"/>
            </w:pPr>
            <w:r>
              <w:rPr/>
              <w:t xml:space="preserve">D</w:t>
            </w:r>
          </w:p>
        </w:tc>
        <w:tc>
          <w:tcPr>
            <w:tcW w:w="5000" w:type="pct"/>
            <w:noWrap/>
          </w:tcPr>
          <w:p>
            <w:pPr>
              <w:jc w:val="center"/>
            </w:pPr>
            <w:r>
              <w:rPr/>
              <w:t xml:space="preserve">$</w:t>
            </w:r>
            <w:r>
              <w:rPr/>
              <w:t xml:space="preserve">4.3653</w:t>
            </w:r>
            <w:r>
              <w:rPr>
                <w:vertAlign w:val="superscript"/>
              </w:rPr>
              <w:t xml:space="preserve">(1)</w:t>
            </w:r>
          </w:p>
        </w:tc>
        <w:tc>
          <w:tcPr>
            <w:tcW w:w="5000" w:type="pct"/>
            <w:noWrap/>
          </w:tcPr>
          <w:p>
            <w:pPr>
              <w:jc w:val="center"/>
            </w:pPr>
            <w:r>
              <w:rPr/>
              <w:t xml:space="preserve">59,025,106</w:t>
            </w:r>
            <w:r>
              <w:rPr>
                <w:vertAlign w:val="superscript"/>
              </w:rPr>
              <w:t xml:space="preserve">(2)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01/10/2024</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17,972</w:t>
            </w:r>
          </w:p>
        </w:tc>
        <w:tc>
          <w:tcPr>
            <w:tcW w:w="5000" w:type="pct"/>
            <w:noWrap/>
          </w:tcPr>
          <w:p>
            <w:pPr>
              <w:jc w:val="center"/>
            </w:pPr>
            <w:r>
              <w:rPr/>
              <w:t xml:space="preserve">D</w:t>
            </w:r>
          </w:p>
        </w:tc>
        <w:tc>
          <w:tcPr>
            <w:tcW w:w="5000" w:type="pct"/>
            <w:noWrap/>
          </w:tcPr>
          <w:p>
            <w:pPr>
              <w:jc w:val="center"/>
            </w:pPr>
            <w:r>
              <w:rPr/>
              <w:t xml:space="preserve">$</w:t>
            </w:r>
            <w:r>
              <w:rPr/>
              <w:t xml:space="preserve">4.2775</w:t>
            </w:r>
            <w:r>
              <w:rPr>
                <w:vertAlign w:val="superscript"/>
              </w:rPr>
              <w:t xml:space="preserve">(3)</w:t>
            </w:r>
          </w:p>
        </w:tc>
        <w:tc>
          <w:tcPr>
            <w:tcW w:w="5000" w:type="pct"/>
            <w:noWrap/>
          </w:tcPr>
          <w:p>
            <w:pPr>
              <w:jc w:val="center"/>
            </w:pPr>
            <w:r>
              <w:rPr/>
              <w:t xml:space="preserve">59,007,134</w:t>
            </w:r>
            <w:r>
              <w:rPr>
                <w:vertAlign w:val="superscript"/>
              </w:rPr>
              <w:t xml:space="preserve">(4)</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RED Holdings,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GN 2016 Organo 10-Year GRAT u/a/d September 30,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Erani Dennis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6000 ISLAND BOULEVARD</w:t>
                  </w:r>
                </w:p>
              </w:tc>
            </w:tr>
            <w:tr>
              <w:trPr/>
              <w:tc>
                <w:tcPr>
                  <w:tcW w:w="5000" w:type="pct"/>
                  <w:vAlign w:val="top"/>
                  <w:noWrap/>
                </w:tcPr>
                <w:p>
                  <w:pPr/>
                  <w:r>
                    <w:rPr/>
                    <w:t xml:space="preserve">APT. 2502</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AVENTURA</w:t>
                  </w:r>
                </w:p>
              </w:tc>
              <w:tc>
                <w:tcPr>
                  <w:tcW w:w="1650" w:type="pct"/>
                  <w:vAlign w:val="top"/>
                  <w:noWrap/>
                </w:tcPr>
                <w:p>
                  <w:pPr/>
                  <w:r>
                    <w:rPr/>
                    <w:t xml:space="preserve">FL</w:t>
                  </w:r>
                </w:p>
              </w:tc>
              <w:tc>
                <w:tcPr>
                  <w:tcW w:w="1650" w:type="pct"/>
                  <w:vAlign w:val="top"/>
                  <w:noWrap/>
                </w:tcPr>
                <w:p>
                  <w:pPr/>
                  <w:r>
                    <w:rPr/>
                    <w:t xml:space="preserve">33160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a weighted-average price. These shares were sold in multiple transactions at prices ranging from $4.30 to $4.45,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(1) to this Form 4.</w:t>
            </w:r>
          </w:p>
        </w:tc>
      </w:tr>
      <w:tr>
        <w:trPr/>
        <w:tc>
          <w:tcPr>
            <w:tcW w:w="5000" w:type="pct"/>
            <w:noWrap/>
          </w:tcPr>
          <w:p>
            <w:pPr/>
            <w:r>
              <w:rPr/>
              <w:t xml:space="preserve">2. Reflects the total number of securities held by the Group. Only Albert Erani has a pecuniary interest in the shares being sold pursuant to the first line of Table I of this Form 4. None of the other members of the Group has a pecuniary interest in the shares being sold pursuant to the first line of Table I of this Form 4.</w:t>
            </w:r>
          </w:p>
        </w:tc>
      </w:tr>
      <w:tr>
        <w:trPr/>
        <w:tc>
          <w:tcPr>
            <w:tcW w:w="5000" w:type="pct"/>
            <w:noWrap/>
          </w:tcPr>
          <w:p>
            <w:pPr/>
            <w:r>
              <w:rPr/>
              <w:t xml:space="preserve">3. The price reported in Column 4 is a weighted-average price. These shares were sold in multiple transactions at prices ranging from $4.20 to $4.34,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(3) to this Form 4.</w:t>
            </w:r>
          </w:p>
        </w:tc>
      </w:tr>
      <w:tr>
        <w:trPr/>
        <w:tc>
          <w:tcPr>
            <w:tcW w:w="5000" w:type="pct"/>
            <w:noWrap/>
          </w:tcPr>
          <w:p>
            <w:pPr/>
            <w:r>
              <w:rPr/>
              <w:t xml:space="preserve">4. Reflects the total number of securities held by the Group. Only RED Holdings, LLC has a pecuniary interest in the shares being sold pursuant to the second line of Table I of this Form 4. None of the other members of the Group has a pecuniary interest in the shares being sold pursuant to the second line of Table I of this Form 4, except for Albert Erani, who is the sole manager of RED Holdings, LLC, and who disclaims ownership of the shares held by RED Holdings, LLC, except to the extent of his pecuniary interest therein.</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GN 2016 Organo 10-Year GRAT u/a/d September 30, 2016 and RED Holdings, LLC,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amended.This is Form 4 No. 2 of 2 filed for the Group.</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01/11/2024</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074084"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900525" TargetMode="External"/><Relationship Id="rId10" Type="http://schemas.openxmlformats.org/officeDocument/2006/relationships/hyperlink" Target="/cgi-bin/browse-edgar?action=getcompany&amp;CIK=0001757452" TargetMode="External"/><Relationship Id="rId11" Type="http://schemas.openxmlformats.org/officeDocument/2006/relationships/hyperlink" Target="/cgi-bin/browse-edgar?action=getcompany&amp;CIK=00017606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2026-08-07T06:17:24-04:00</dcterms:created>
  <dcterms:modified xsi:type="dcterms:W3CDTF">2026-08-07T06:17:24-04:00</dcterms:modified>
</cp:coreProperties>
</file>

<file path=docProps/custom.xml><?xml version="1.0" encoding="utf-8"?>
<Properties xmlns="http://schemas.openxmlformats.org/officeDocument/2006/custom-properties" xmlns:vt="http://schemas.openxmlformats.org/officeDocument/2006/docPropsVTypes"/>
</file>