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11/12/2024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11/12/2024</w:t>
            </w:r>
          </w:p>
        </w:tc>
        <w:tc>
          <w:tcPr>
            <w:tcW w:w="5000" w:type="pct"/>
            <w:noWrap/>
          </w:tcPr>
          <w:p>
            <w:pPr>
              <w:jc w:val="center"/>
            </w:pPr>
          </w:p>
        </w:tc>
        <w:tc>
          <w:tcPr>
            <w:tcW w:w="5000" w:type="pct"/>
            <w:noWrap/>
          </w:tcPr>
          <w:p>
            <w:pPr>
              <w:jc w:val="center"/>
            </w:pPr>
            <w:r>
              <w:rPr/>
              <w:t xml:space="preserve">J</w:t>
            </w:r>
          </w:p>
        </w:tc>
        <w:tc>
          <w:tcPr>
            <w:tcW w:w="5000" w:type="pct"/>
            <w:noWrap/>
          </w:tcPr>
          <w:p>
            <w:pPr>
              <w:jc w:val="center"/>
            </w:pPr>
          </w:p>
        </w:tc>
        <w:tc>
          <w:tcPr>
            <w:tcW w:w="5000" w:type="pct"/>
            <w:noWrap/>
          </w:tcPr>
          <w:p>
            <w:pPr>
              <w:jc w:val="center"/>
            </w:pPr>
            <w:r>
              <w:rPr/>
              <w:t xml:space="preserve">224,668</w:t>
            </w:r>
          </w:p>
        </w:tc>
        <w:tc>
          <w:tcPr>
            <w:tcW w:w="5000" w:type="pct"/>
            <w:noWrap/>
          </w:tcPr>
          <w:p>
            <w:pPr>
              <w:jc w:val="center"/>
            </w:pPr>
            <w:r>
              <w:rPr/>
              <w:t xml:space="preserve">D</w:t>
            </w:r>
          </w:p>
        </w:tc>
        <w:tc>
          <w:tcPr>
            <w:tcW w:w="5000" w:type="pct"/>
            <w:noWrap/>
          </w:tcPr>
          <w:p>
            <w:pPr>
              <w:jc w:val="center"/>
            </w:pPr>
            <w:r>
              <w:rPr/>
              <w:t xml:space="preserve">$</w:t>
            </w:r>
            <w:r>
              <w:rPr/>
              <w:t xml:space="preserve">3.1597</w:t>
            </w:r>
            <w:r>
              <w:rPr>
                <w:vertAlign w:val="superscript"/>
              </w:rPr>
              <w:t xml:space="preserve">(1)</w:t>
            </w:r>
          </w:p>
        </w:tc>
        <w:tc>
          <w:tcPr>
            <w:tcW w:w="5000" w:type="pct"/>
            <w:noWrap/>
          </w:tcPr>
          <w:p>
            <w:pPr>
              <w:jc w:val="center"/>
            </w:pPr>
            <w:r>
              <w:rPr/>
              <w:t xml:space="preserve">58,782,466</w:t>
            </w:r>
            <w:r>
              <w:rPr>
                <w:vertAlign w:val="superscript"/>
              </w:rPr>
              <w:t xml:space="preserve">(2)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11/12/2024</w:t>
            </w:r>
          </w:p>
        </w:tc>
        <w:tc>
          <w:tcPr>
            <w:tcW w:w="5000" w:type="pct"/>
            <w:noWrap/>
          </w:tcPr>
          <w:p>
            <w:pPr>
              <w:jc w:val="center"/>
            </w:pPr>
          </w:p>
        </w:tc>
        <w:tc>
          <w:tcPr>
            <w:tcW w:w="5000" w:type="pct"/>
            <w:noWrap/>
          </w:tcPr>
          <w:p>
            <w:pPr>
              <w:jc w:val="center"/>
            </w:pPr>
            <w:r>
              <w:rPr/>
              <w:t xml:space="preserve">J</w:t>
            </w:r>
          </w:p>
        </w:tc>
        <w:tc>
          <w:tcPr>
            <w:tcW w:w="5000" w:type="pct"/>
            <w:noWrap/>
          </w:tcPr>
          <w:p>
            <w:pPr>
              <w:jc w:val="center"/>
            </w:pPr>
          </w:p>
        </w:tc>
        <w:tc>
          <w:tcPr>
            <w:tcW w:w="5000" w:type="pct"/>
            <w:noWrap/>
          </w:tcPr>
          <w:p>
            <w:pPr>
              <w:jc w:val="center"/>
            </w:pPr>
            <w:r>
              <w:rPr/>
              <w:t xml:space="preserve">590,332</w:t>
            </w:r>
          </w:p>
        </w:tc>
        <w:tc>
          <w:tcPr>
            <w:tcW w:w="5000" w:type="pct"/>
            <w:noWrap/>
          </w:tcPr>
          <w:p>
            <w:pPr>
              <w:jc w:val="center"/>
            </w:pPr>
            <w:r>
              <w:rPr/>
              <w:t xml:space="preserve">D</w:t>
            </w:r>
          </w:p>
        </w:tc>
        <w:tc>
          <w:tcPr>
            <w:tcW w:w="5000" w:type="pct"/>
            <w:noWrap/>
          </w:tcPr>
          <w:p>
            <w:pPr>
              <w:jc w:val="center"/>
            </w:pPr>
            <w:r>
              <w:rPr/>
              <w:t xml:space="preserve">$</w:t>
            </w:r>
            <w:r>
              <w:rPr/>
              <w:t xml:space="preserve">3.1597</w:t>
            </w:r>
            <w:r>
              <w:rPr>
                <w:vertAlign w:val="superscript"/>
              </w:rPr>
              <w:t xml:space="preserve">(1)</w:t>
            </w:r>
          </w:p>
        </w:tc>
        <w:tc>
          <w:tcPr>
            <w:tcW w:w="5000" w:type="pct"/>
            <w:noWrap/>
          </w:tcPr>
          <w:p>
            <w:pPr>
              <w:jc w:val="center"/>
            </w:pPr>
            <w:r>
              <w:rPr/>
              <w:t xml:space="preserve">58,192,134</w:t>
            </w:r>
            <w:r>
              <w:rPr>
                <w:vertAlign w:val="superscript"/>
              </w:rPr>
              <w:t xml:space="preserve">(3)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11/12/2024</w:t>
            </w:r>
          </w:p>
        </w:tc>
        <w:tc>
          <w:tcPr>
            <w:tcW w:w="5000" w:type="pct"/>
            <w:noWrap/>
          </w:tcPr>
          <w:p>
            <w:pPr>
              <w:jc w:val="center"/>
            </w:pPr>
          </w:p>
        </w:tc>
        <w:tc>
          <w:tcPr>
            <w:tcW w:w="5000" w:type="pct"/>
            <w:noWrap/>
          </w:tcPr>
          <w:p>
            <w:pPr>
              <w:jc w:val="center"/>
            </w:pPr>
            <w:r>
              <w:rPr/>
              <w:t xml:space="preserve">D</w:t>
            </w:r>
          </w:p>
        </w:tc>
        <w:tc>
          <w:tcPr>
            <w:tcW w:w="5000" w:type="pct"/>
            <w:noWrap/>
          </w:tcPr>
          <w:p>
            <w:pPr>
              <w:jc w:val="center"/>
            </w:pPr>
          </w:p>
        </w:tc>
        <w:tc>
          <w:tcPr>
            <w:tcW w:w="5000" w:type="pct"/>
            <w:noWrap/>
          </w:tcPr>
          <w:p>
            <w:pPr>
              <w:jc w:val="center"/>
            </w:pPr>
            <w:r>
              <w:rPr/>
              <w:t xml:space="preserve">294,000</w:t>
            </w:r>
          </w:p>
        </w:tc>
        <w:tc>
          <w:tcPr>
            <w:tcW w:w="5000" w:type="pct"/>
            <w:noWrap/>
          </w:tcPr>
          <w:p>
            <w:pPr>
              <w:jc w:val="center"/>
            </w:pPr>
            <w:r>
              <w:rPr/>
              <w:t xml:space="preserve">D</w:t>
            </w:r>
          </w:p>
        </w:tc>
        <w:tc>
          <w:tcPr>
            <w:tcW w:w="5000" w:type="pct"/>
            <w:noWrap/>
          </w:tcPr>
          <w:p>
            <w:pPr>
              <w:jc w:val="center"/>
            </w:pPr>
            <w:r>
              <w:rPr/>
              <w:t xml:space="preserve">$</w:t>
            </w:r>
            <w:r>
              <w:rPr/>
              <w:t xml:space="preserve">3.1597</w:t>
            </w:r>
            <w:r>
              <w:rPr>
                <w:vertAlign w:val="superscript"/>
              </w:rPr>
              <w:t xml:space="preserve">(1)</w:t>
            </w:r>
          </w:p>
        </w:tc>
        <w:tc>
          <w:tcPr>
            <w:tcW w:w="5000" w:type="pct"/>
            <w:noWrap/>
          </w:tcPr>
          <w:p>
            <w:pPr>
              <w:jc w:val="center"/>
            </w:pPr>
            <w:r>
              <w:rPr/>
              <w:t xml:space="preserve">57,898,134</w:t>
            </w:r>
            <w:r>
              <w:rPr>
                <w:vertAlign w:val="superscript"/>
              </w:rPr>
              <w:t xml:space="preserve">(4)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11/12/2024</w:t>
            </w:r>
          </w:p>
        </w:tc>
        <w:tc>
          <w:tcPr>
            <w:tcW w:w="5000" w:type="pct"/>
            <w:noWrap/>
          </w:tcPr>
          <w:p>
            <w:pPr>
              <w:jc w:val="center"/>
            </w:pPr>
          </w:p>
        </w:tc>
        <w:tc>
          <w:tcPr>
            <w:tcW w:w="5000" w:type="pct"/>
            <w:noWrap/>
          </w:tcPr>
          <w:p>
            <w:pPr>
              <w:jc w:val="center"/>
            </w:pPr>
            <w:r>
              <w:rPr/>
              <w:t xml:space="preserve">D</w:t>
            </w:r>
          </w:p>
        </w:tc>
        <w:tc>
          <w:tcPr>
            <w:tcW w:w="5000" w:type="pct"/>
            <w:noWrap/>
          </w:tcPr>
          <w:p>
            <w:pPr>
              <w:jc w:val="center"/>
            </w:pPr>
          </w:p>
        </w:tc>
        <w:tc>
          <w:tcPr>
            <w:tcW w:w="5000" w:type="pct"/>
            <w:noWrap/>
          </w:tcPr>
          <w:p>
            <w:pPr>
              <w:jc w:val="center"/>
            </w:pPr>
            <w:r>
              <w:rPr/>
              <w:t xml:space="preserve">3,761,909</w:t>
            </w:r>
          </w:p>
        </w:tc>
        <w:tc>
          <w:tcPr>
            <w:tcW w:w="5000" w:type="pct"/>
            <w:noWrap/>
          </w:tcPr>
          <w:p>
            <w:pPr>
              <w:jc w:val="center"/>
            </w:pPr>
            <w:r>
              <w:rPr/>
              <w:t xml:space="preserve">D</w:t>
            </w:r>
          </w:p>
        </w:tc>
        <w:tc>
          <w:tcPr>
            <w:tcW w:w="5000" w:type="pct"/>
            <w:noWrap/>
          </w:tcPr>
          <w:p>
            <w:pPr>
              <w:jc w:val="center"/>
            </w:pPr>
            <w:r>
              <w:rPr/>
              <w:t xml:space="preserve">$</w:t>
            </w:r>
            <w:r>
              <w:rPr/>
              <w:t xml:space="preserve">3.1597</w:t>
            </w:r>
            <w:r>
              <w:rPr>
                <w:vertAlign w:val="superscript"/>
              </w:rPr>
              <w:t xml:space="preserve">(1)</w:t>
            </w:r>
          </w:p>
        </w:tc>
        <w:tc>
          <w:tcPr>
            <w:tcW w:w="5000" w:type="pct"/>
            <w:noWrap/>
          </w:tcPr>
          <w:p>
            <w:pPr>
              <w:jc w:val="center"/>
            </w:pPr>
            <w:r>
              <w:rPr/>
              <w:t xml:space="preserve">54,136,225</w:t>
            </w:r>
            <w:r>
              <w:rPr>
                <w:vertAlign w:val="superscript"/>
              </w:rPr>
              <w:t xml:space="preserve">(5)</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11/12/2024</w:t>
            </w:r>
          </w:p>
        </w:tc>
        <w:tc>
          <w:tcPr>
            <w:tcW w:w="5000" w:type="pct"/>
            <w:noWrap/>
          </w:tcPr>
          <w:p>
            <w:pPr>
              <w:jc w:val="center"/>
            </w:pPr>
          </w:p>
        </w:tc>
        <w:tc>
          <w:tcPr>
            <w:tcW w:w="5000" w:type="pct"/>
            <w:noWrap/>
          </w:tcPr>
          <w:p>
            <w:pPr>
              <w:jc w:val="center"/>
            </w:pPr>
            <w:r>
              <w:rPr/>
              <w:t xml:space="preserve">D</w:t>
            </w:r>
          </w:p>
        </w:tc>
        <w:tc>
          <w:tcPr>
            <w:tcW w:w="5000" w:type="pct"/>
            <w:noWrap/>
          </w:tcPr>
          <w:p>
            <w:pPr>
              <w:jc w:val="center"/>
            </w:pPr>
          </w:p>
        </w:tc>
        <w:tc>
          <w:tcPr>
            <w:tcW w:w="5000" w:type="pct"/>
            <w:noWrap/>
          </w:tcPr>
          <w:p>
            <w:pPr>
              <w:jc w:val="center"/>
            </w:pPr>
            <w:r>
              <w:rPr/>
              <w:t xml:space="preserve">2,550,822</w:t>
            </w:r>
          </w:p>
        </w:tc>
        <w:tc>
          <w:tcPr>
            <w:tcW w:w="5000" w:type="pct"/>
            <w:noWrap/>
          </w:tcPr>
          <w:p>
            <w:pPr>
              <w:jc w:val="center"/>
            </w:pPr>
            <w:r>
              <w:rPr/>
              <w:t xml:space="preserve">D</w:t>
            </w:r>
          </w:p>
        </w:tc>
        <w:tc>
          <w:tcPr>
            <w:tcW w:w="5000" w:type="pct"/>
            <w:noWrap/>
          </w:tcPr>
          <w:p>
            <w:pPr>
              <w:jc w:val="center"/>
            </w:pPr>
            <w:r>
              <w:rPr/>
              <w:t xml:space="preserve">$</w:t>
            </w:r>
            <w:r>
              <w:rPr/>
              <w:t xml:space="preserve">3.1597</w:t>
            </w:r>
            <w:r>
              <w:rPr>
                <w:vertAlign w:val="superscript"/>
              </w:rPr>
              <w:t xml:space="preserve">(1)</w:t>
            </w:r>
          </w:p>
        </w:tc>
        <w:tc>
          <w:tcPr>
            <w:tcW w:w="5000" w:type="pct"/>
            <w:noWrap/>
          </w:tcPr>
          <w:p>
            <w:pPr>
              <w:jc w:val="center"/>
            </w:pPr>
            <w:r>
              <w:rPr/>
              <w:t xml:space="preserve">51,585,403</w:t>
            </w:r>
            <w:r>
              <w:rPr>
                <w:vertAlign w:val="superscript"/>
              </w:rPr>
              <w:t xml:space="preserve">(6)</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RED Holdings,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Ades Alan 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Alan Ades 2014 GRAT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2"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3"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4" w:history="1">
                    <w:r>
                      <w:rPr/>
                      <w:t xml:space="preserve">GN 2016 Organo 10-Year GRAT u/a/d September 30,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5" w:history="1">
                    <w:r>
                      <w:rPr/>
                      <w:t xml:space="preserve">Erani Dennis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the 10-day trailing volume weighted average price of the Class A common stock as of market close on November 11, 2024.</w:t>
            </w:r>
          </w:p>
        </w:tc>
      </w:tr>
      <w:tr>
        <w:trPr/>
        <w:tc>
          <w:tcPr>
            <w:tcW w:w="5000" w:type="pct"/>
            <w:noWrap/>
          </w:tcPr>
          <w:p>
            <w:pPr/>
            <w:r>
              <w:rPr/>
              <w:t xml:space="preserve">2. Reflects the total number of securities held by the Group. Only Albert Erani has a pecuniary interest in the shares redeemed by Organogenesis pursuant to a Stock Repurchase Agreement reflected on the first line of Table I of this Form 4. None of the other members of the Group has a pecuniary interest in such shares.</w:t>
            </w:r>
          </w:p>
        </w:tc>
      </w:tr>
      <w:tr>
        <w:trPr/>
        <w:tc>
          <w:tcPr>
            <w:tcW w:w="5000" w:type="pct"/>
            <w:noWrap/>
          </w:tcPr>
          <w:p>
            <w:pPr/>
            <w:r>
              <w:rPr/>
              <w:t xml:space="preserve">3. Reflects the total number of securities held by the Group. Only RED Holdings, LLC has a pecuniary interest in the shares redeemed by Organogenesis pursuant to a Stock Repurchase Agreement reflected in the second line of Table I of this Form 4. None of the other members of the Group has a pecuniary interest in such shares, except for Albert Erani, who is the sole manager of RED Holdings, LLC, and who disclaims ownership of the shares held by RED Holdings, LLC, except to the extent of his pecuniary interest therein.</w:t>
            </w:r>
          </w:p>
        </w:tc>
      </w:tr>
      <w:tr>
        <w:trPr/>
        <w:tc>
          <w:tcPr>
            <w:tcW w:w="5000" w:type="pct"/>
            <w:noWrap/>
          </w:tcPr>
          <w:p>
            <w:pPr/>
            <w:r>
              <w:rPr/>
              <w:t xml:space="preserve">4. Reflects the total number of securities held by the Group. Only Alan A. Ades has a pecuniary interest in the shares redeemed by Organogenesis pursuant to a Stock Repurchase Agreement reflected on the third line of Table I of this Form 4. None of the other members of the Group has a pecuniary interest in such shares.</w:t>
            </w:r>
          </w:p>
        </w:tc>
      </w:tr>
      <w:tr>
        <w:trPr/>
        <w:tc>
          <w:tcPr>
            <w:tcW w:w="5000" w:type="pct"/>
            <w:noWrap/>
          </w:tcPr>
          <w:p>
            <w:pPr/>
            <w:r>
              <w:rPr/>
              <w:t xml:space="preserve">5. Reflects the total number of securities held by the Group. Only the Alan Ades 2014 GRAT has a pecuniary interest in the shares redeemed by Organogenesis pursuant to a Stock Repurchase Agreement reflected in the fourth line of Table I of this Form 4. None of the other members of the Group has a pecuniary interest in such shares, except for Alan A. Ades, who is the Trustee of the Alan Ades 2014 GRAT, and who disclaims ownership of the shares held by the Alan Ades 2014 GRAT, except to the extent of his pecuniary interest therein.</w:t>
            </w:r>
          </w:p>
        </w:tc>
      </w:tr>
      <w:tr>
        <w:trPr/>
        <w:tc>
          <w:tcPr>
            <w:tcW w:w="5000" w:type="pct"/>
            <w:noWrap/>
          </w:tcPr>
          <w:p>
            <w:pPr/>
            <w:r>
              <w:rPr/>
              <w:t xml:space="preserve">6. Reflects the total number of securities held by the Group. Only Glenn H. Nussdorf has a pecuniary interest in the shares redeemed by Organogenesis pursuant to a Stock Repurchase Agreement reflected on the fifth line of Table I of this Form 4. None of the other members of the Group has a pecuniary interest in such shares.</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and RED Holdings, LLC,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 This is Form 4 No. 2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11/14/2024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074084"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900525" TargetMode="External"/><Relationship Id="rId10" Type="http://schemas.openxmlformats.org/officeDocument/2006/relationships/hyperlink" Target="/cgi-bin/browse-edgar?action=getcompany&amp;CIK=0001757286" TargetMode="External"/><Relationship Id="rId11" Type="http://schemas.openxmlformats.org/officeDocument/2006/relationships/hyperlink" Target="/cgi-bin/browse-edgar?action=getcompany&amp;CIK=0001757567" TargetMode="External"/><Relationship Id="rId12" Type="http://schemas.openxmlformats.org/officeDocument/2006/relationships/hyperlink" Target="/cgi-bin/browse-edgar?action=getcompany&amp;CIK=0001244191" TargetMode="External"/><Relationship Id="rId13" Type="http://schemas.openxmlformats.org/officeDocument/2006/relationships/hyperlink" Target="/cgi-bin/browse-edgar?action=getcompany&amp;CIK=0001760694" TargetMode="External"/><Relationship Id="rId14" Type="http://schemas.openxmlformats.org/officeDocument/2006/relationships/hyperlink" Target="/cgi-bin/browse-edgar?action=getcompany&amp;CIK=0001757452" TargetMode="External"/><Relationship Id="rId15" Type="http://schemas.openxmlformats.org/officeDocument/2006/relationships/hyperlink" Target="/cgi-bin/browse-edgar?action=getcompany&amp;CIK=00017606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2026-08-07T06:17:05-04:00</dcterms:created>
  <dcterms:modified xsi:type="dcterms:W3CDTF">2026-08-07T06:17:05-04:00</dcterms:modified>
</cp:coreProperties>
</file>

<file path=docProps/custom.xml><?xml version="1.0" encoding="utf-8"?>
<Properties xmlns="http://schemas.openxmlformats.org/officeDocument/2006/custom-properties" xmlns:vt="http://schemas.openxmlformats.org/officeDocument/2006/docPropsVTypes"/>
</file>