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Avista Acquisition Corp.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HEALTHCARE PUBLIC ACQUIS CORP</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Avista Healthcare Public Acquisition Corp.</w:t>
              </w:r>
            </w:hyperlink>
            <w:r>
              <w:rPr/>
              <w:t xml:space="preserve">     [ </w:t>
            </w:r>
            <w:r>
              <w:rPr/>
              <w:t xml:space="preserve">AHPA</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08/17/2018</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1800" w:type="dxa"/>
        <w:gridCol w:w="300" w:type="dxa"/>
        <w:gridCol w:w="250" w:type="dxa"/>
        <w:gridCol w:w="350" w:type="dxa"/>
        <w:gridCol w:w="950" w:type="dxa"/>
        <w:gridCol w:w="550" w:type="dxa"/>
        <w:gridCol w:w="450" w:type="dxa"/>
        <w:gridCol w:w="4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Class B Ordinary Shares</w:t>
            </w:r>
          </w:p>
        </w:tc>
        <w:tc>
          <w:tcPr>
            <w:tcW w:w="5000" w:type="pct"/>
            <w:noWrap/>
          </w:tcPr>
          <w:p>
            <w:pPr>
              <w:jc w:val="center"/>
            </w:pPr>
            <w:r>
              <w:rPr>
                <w:vertAlign w:val="superscript"/>
              </w:rPr>
              <w:t xml:space="preserve">(1)</w:t>
            </w:r>
          </w:p>
        </w:tc>
        <w:tc>
          <w:tcPr>
            <w:tcW w:w="5000" w:type="pct"/>
            <w:noWrap/>
          </w:tcPr>
          <w:p>
            <w:pPr>
              <w:jc w:val="center"/>
            </w:pPr>
            <w:r>
              <w:rPr/>
              <w:t xml:space="preserve">08/17/2018</w:t>
            </w:r>
          </w:p>
        </w:tc>
        <w:tc>
          <w:tcPr>
            <w:tcW w:w="5000" w:type="pct"/>
            <w:noWrap/>
          </w:tcPr>
          <w:p>
            <w:pPr>
              <w:jc w:val="center"/>
            </w:pPr>
          </w:p>
        </w:tc>
        <w:tc>
          <w:tcPr>
            <w:tcW w:w="5000" w:type="pct"/>
            <w:noWrap/>
          </w:tcPr>
          <w:p>
            <w:pPr>
              <w:jc w:val="center"/>
            </w:pPr>
            <w:r>
              <w:rPr/>
              <w:t xml:space="preserve">J</w:t>
            </w:r>
            <w:r>
              <w:rPr>
                <w:vertAlign w:val="superscript"/>
              </w:rPr>
              <w:t xml:space="preserve">(2)</w:t>
            </w:r>
          </w:p>
        </w:tc>
        <w:tc>
          <w:tcPr>
            <w:tcW w:w="5000" w:type="pct"/>
            <w:noWrap/>
          </w:tcPr>
          <w:p>
            <w:pPr>
              <w:jc w:val="center"/>
            </w:pPr>
          </w:p>
        </w:tc>
        <w:tc>
          <w:tcPr>
            <w:tcW w:w="5000" w:type="pct"/>
            <w:noWrap/>
          </w:tcPr>
          <w:p>
            <w:pPr>
              <w:jc w:val="center"/>
            </w:pPr>
          </w:p>
        </w:tc>
        <w:tc>
          <w:tcPr>
            <w:tcW w:w="5000" w:type="pct"/>
            <w:noWrap/>
          </w:tcPr>
          <w:p>
            <w:pPr>
              <w:jc w:val="center"/>
            </w:pPr>
            <w:r>
              <w:rPr/>
              <w:t xml:space="preserve">1,423,125</w:t>
            </w:r>
          </w:p>
        </w:tc>
        <w:tc>
          <w:tcPr>
            <w:tcW w:w="5000" w:type="pct"/>
            <w:noWrap/>
          </w:tcPr>
          <w:p>
            <w:pPr>
              <w:jc w:val="center"/>
            </w:pPr>
            <w:r>
              <w:rPr/>
              <w:t xml:space="preserve">                            </w:t>
            </w:r>
            <w:r>
              <w:rPr>
                <w:vertAlign w:val="superscript"/>
              </w:rPr>
              <w:t xml:space="preserve">(1)</w:t>
            </w:r>
          </w:p>
        </w:tc>
        <w:tc>
          <w:tcPr>
            <w:tcW w:w="5000" w:type="pct"/>
            <w:noWrap/>
          </w:tcPr>
          <w:p>
            <w:pPr>
              <w:jc w:val="center"/>
            </w:pPr>
            <w:r>
              <w:rPr/>
              <w:t xml:space="preserve">                            </w:t>
            </w:r>
            <w:r>
              <w:rPr>
                <w:vertAlign w:val="superscript"/>
              </w:rPr>
              <w:t xml:space="preserve">(1)</w:t>
            </w:r>
          </w:p>
        </w:tc>
        <w:tc>
          <w:tcPr>
            <w:tcW w:w="5000" w:type="pct"/>
            <w:noWrap/>
          </w:tcPr>
          <w:p>
            <w:pPr>
              <w:jc w:val="center"/>
            </w:pPr>
            <w:r>
              <w:rPr/>
              <w:t xml:space="preserve">Class A Ordinary Shares</w:t>
            </w:r>
          </w:p>
        </w:tc>
        <w:tc>
          <w:tcPr>
            <w:tcW w:w="5000" w:type="pct"/>
            <w:noWrap/>
          </w:tcPr>
          <w:p>
            <w:pPr>
              <w:jc w:val="center"/>
            </w:pPr>
            <w:r>
              <w:rPr/>
              <w:t xml:space="preserve">1,423,125</w:t>
            </w:r>
          </w:p>
        </w:tc>
        <w:tc>
          <w:tcPr>
            <w:tcW w:w="5000" w:type="pct"/>
            <w:noWrap/>
          </w:tcPr>
          <w:p>
            <w:pPr>
              <w:jc w:val="center"/>
            </w:pPr>
            <w:r>
              <w:rPr>
                <w:vertAlign w:val="superscript"/>
              </w:rPr>
              <w:t xml:space="preserve">(2)</w:t>
            </w:r>
          </w:p>
        </w:tc>
        <w:tc>
          <w:tcPr>
            <w:tcW w:w="5000" w:type="pct"/>
            <w:noWrap/>
          </w:tcPr>
          <w:p>
            <w:pPr>
              <w:jc w:val="center"/>
            </w:pPr>
            <w:r>
              <w:rPr/>
              <w:t xml:space="preserve">4,269,375</w:t>
            </w:r>
          </w:p>
        </w:tc>
        <w:tc>
          <w:tcPr>
            <w:tcW w:w="5000" w:type="pct"/>
            <w:noWrap/>
          </w:tcPr>
          <w:p>
            <w:pPr>
              <w:jc w:val="center"/>
            </w:pPr>
            <w:r>
              <w:rPr/>
              <w:t xml:space="preserve">D</w:t>
            </w:r>
            <w:r>
              <w:rPr>
                <w:vertAlign w:val="superscript"/>
              </w:rPr>
              <w:t xml:space="preserve">(3)</w:t>
            </w:r>
            <w:r>
              <w:rPr>
                <w:vertAlign w:val="superscript"/>
              </w:rPr>
              <w:t xml:space="preserve">(4)</w:t>
            </w:r>
            <w:r>
              <w:rPr>
                <w:vertAlign w:val="superscript"/>
              </w:rPr>
              <w:t xml:space="preserve">(5)</w:t>
            </w:r>
          </w:p>
        </w:tc>
        <w:tc>
          <w:tcPr>
            <w:tcW w:w="5000" w:type="pct"/>
            <w:noWrap/>
          </w:tcPr>
          <w:p>
            <w:pPr>
              <w:jc w:val="start"/>
            </w:pP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Avista Acquisition Corp.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HEALTHCARE PUBLIC ACQUIS CORP</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Avista Acquisition,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HEALTHCARE PUBLIC ACQUIS CORP</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0" w:history="1">
                    <w:r>
                      <w:rPr/>
                      <w:t xml:space="preserve">Dean Thompson</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HEALTHCARE PUBLIC ACQUIS CORP</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1" w:history="1">
                    <w:r>
                      <w:rPr/>
                      <w:t xml:space="preserve">Burgstahler David F</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HEALTHCARE PUBLIC ACQUIS CORP</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Pursuant to the Amended and Restated Memorandum and Articles of Association (the "Articles") of the Issuer, the Class B ordinary shares, par value $0.0001 per share (the "Class B Shares") will automatically convert into Class A ordinary shares, par value $0.0001 per share, of the Issuer at the time of the Issuer's Business Combination, as defined in the Articles, on a one-for-one basis, subject to adjustment, and have no expiration date.</w:t>
            </w:r>
          </w:p>
        </w:tc>
      </w:tr>
      <w:tr>
        <w:trPr/>
        <w:tc>
          <w:tcPr>
            <w:tcW w:w="5000" w:type="pct"/>
            <w:noWrap/>
          </w:tcPr>
          <w:p>
            <w:pPr/>
            <w:r>
              <w:rPr/>
              <w:t xml:space="preserve">2. 1,423,125 Class B ordinary shares were forfeited by Avista Acquisition Corp. (the "Sponsor") to the Issuer for no consideration.</w:t>
            </w:r>
          </w:p>
        </w:tc>
      </w:tr>
      <w:tr>
        <w:trPr/>
        <w:tc>
          <w:tcPr>
            <w:tcW w:w="5000" w:type="pct"/>
            <w:noWrap/>
          </w:tcPr>
          <w:p>
            <w:pPr/>
            <w:r>
              <w:rPr/>
              <w:t xml:space="preserve">3. Directly owned by Sponsor. The sole shareholder of Sponsor is Avista Acquisition, LLC ("Avista Acquisition"). Thompson Dean and David Burgstahler are the managers of Avista Acquisition (and, together with Sponsor, Messrs. Dean and Burgstahler are the "Reporting Persons").</w:t>
            </w:r>
          </w:p>
        </w:tc>
      </w:tr>
      <w:tr>
        <w:trPr/>
        <w:tc>
          <w:tcPr>
            <w:tcW w:w="5000" w:type="pct"/>
            <w:noWrap/>
          </w:tcPr>
          <w:p>
            <w:pPr/>
            <w:r>
              <w:rPr/>
              <w:t xml:space="preserve">4. Because of the relationship among the Reporting Persons, the Reporting Persons may be deemed to beneficially own the securities reported herein to the extent of their respective pecuniary interests. Each Reporting Person disclaims beneficial ownership of the securities reported herein, except to the extent of such Reporting Person's pecuniary interest therein, if any.</w:t>
            </w:r>
          </w:p>
        </w:tc>
      </w:tr>
      <w:tr>
        <w:trPr/>
        <w:tc>
          <w:tcPr>
            <w:tcW w:w="5000" w:type="pct"/>
            <w:noWrap/>
          </w:tcPr>
          <w:p>
            <w:pPr/>
            <w:r>
              <w:rPr/>
              <w:t xml:space="preserve">5. Pursuant to Rule 16a-1(a)(4) under the Exchange Act, this filing shall not be deemed an admission that the Reporting Persons are, for purposes of Section 16 of the Exchange Act or otherwise, the beneficial owners of any equity securities in excess of their respective pecuniary interests.</w:t>
            </w:r>
          </w:p>
        </w:tc>
      </w:tr>
      <w:tr>
        <w:trPr/>
        <w:tc>
          <w:tcPr>
            <w:tcW w:w="5000" w:type="pct"/>
            <w:noWrap/>
          </w:tcPr>
          <w:p>
            <w:pPr/>
            <w:r>
              <w:rPr>
                <w:b w:val="1"/>
                <w:bCs w:val="1"/>
              </w:rPr>
              <w:t xml:space="preserve">Remarks:</w:t>
            </w:r>
          </w:p>
        </w:tc>
      </w:tr>
      <w:tr>
        <w:trPr/>
        <w:tc>
          <w:tcPr>
            <w:tcW w:w="5000" w:type="pct"/>
            <w:noWrap/>
          </w:tcPr>
          <w:p>
            <w:pPr/>
            <w:r>
              <w:rPr/>
              <w:t xml:space="preserve">Exhibit 99.1 Joint Filer Information, incorporated herein by reference.</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By: /s/ Benjamin Silbert, Attorney-in-Fact for Avista Acquisition Corp.</w:t>
            </w:r>
          </w:p>
        </w:tc>
        <w:tc>
          <w:tcPr>
            <w:tcW w:w="1000" w:type="pct"/>
            <w:noWrap/>
          </w:tcPr>
          <w:p>
            <w:pPr/>
            <w:r>
              <w:rPr>
                <w:u w:val="single"/>
              </w:rPr>
              <w:t xml:space="preserve">10/15/2018</w:t>
            </w:r>
          </w:p>
        </w:tc>
      </w:tr>
      <w:tr>
        <w:trPr/>
        <w:tc>
          <w:tcPr>
            <w:tcW w:w="3000" w:type="pct"/>
            <w:noWrap/>
          </w:tcPr>
          <w:p>
            <w:pPr/>
          </w:p>
        </w:tc>
        <w:tc>
          <w:tcPr>
            <w:tcW w:w="1000" w:type="pct"/>
            <w:noWrap/>
          </w:tcPr>
          <w:p>
            <w:pPr/>
            <w:r>
              <w:rPr>
                <w:u w:val="single"/>
              </w:rPr>
              <w:t xml:space="preserve">By: /s/ Benjamin Silbert, Attorney-in-Fact for Avista Acquisition, LLC.</w:t>
            </w:r>
          </w:p>
        </w:tc>
        <w:tc>
          <w:tcPr>
            <w:tcW w:w="1000" w:type="pct"/>
            <w:noWrap/>
          </w:tcPr>
          <w:p>
            <w:pPr/>
            <w:r>
              <w:rPr>
                <w:u w:val="single"/>
              </w:rPr>
              <w:t xml:space="preserve">10/15/2018</w:t>
            </w:r>
          </w:p>
        </w:tc>
      </w:tr>
      <w:tr>
        <w:trPr/>
        <w:tc>
          <w:tcPr>
            <w:tcW w:w="3000" w:type="pct"/>
            <w:noWrap/>
          </w:tcPr>
          <w:p>
            <w:pPr/>
          </w:p>
        </w:tc>
        <w:tc>
          <w:tcPr>
            <w:tcW w:w="1000" w:type="pct"/>
            <w:noWrap/>
          </w:tcPr>
          <w:p>
            <w:pPr/>
            <w:r>
              <w:rPr>
                <w:u w:val="single"/>
              </w:rPr>
              <w:t xml:space="preserve">By: /s/ Benjamin Silbert, Attorney-in-Fact for Thompson Dean</w:t>
            </w:r>
          </w:p>
        </w:tc>
        <w:tc>
          <w:tcPr>
            <w:tcW w:w="1000" w:type="pct"/>
            <w:noWrap/>
          </w:tcPr>
          <w:p>
            <w:pPr/>
            <w:r>
              <w:rPr>
                <w:u w:val="single"/>
              </w:rPr>
              <w:t xml:space="preserve">10/15/2018</w:t>
            </w:r>
          </w:p>
        </w:tc>
      </w:tr>
      <w:tr>
        <w:trPr/>
        <w:tc>
          <w:tcPr>
            <w:tcW w:w="3000" w:type="pct"/>
            <w:noWrap/>
          </w:tcPr>
          <w:p>
            <w:pPr/>
          </w:p>
        </w:tc>
        <w:tc>
          <w:tcPr>
            <w:tcW w:w="1000" w:type="pct"/>
            <w:noWrap/>
          </w:tcPr>
          <w:p>
            <w:pPr/>
            <w:r>
              <w:rPr>
                <w:u w:val="single"/>
              </w:rPr>
              <w:t xml:space="preserve">By: /s/ Benjamin Silbert, Attorney-in-Fact for David Burgstahler</w:t>
            </w:r>
          </w:p>
        </w:tc>
        <w:tc>
          <w:tcPr>
            <w:tcW w:w="1000" w:type="pct"/>
            <w:noWrap/>
          </w:tcPr>
          <w:p>
            <w:pPr/>
            <w:r>
              <w:rPr>
                <w:u w:val="single"/>
              </w:rPr>
              <w:t xml:space="preserve">10/15/2018</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661187"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686388" TargetMode="External"/><Relationship Id="rId10" Type="http://schemas.openxmlformats.org/officeDocument/2006/relationships/hyperlink" Target="/cgi-bin/browse-edgar?action=getcompany&amp;CIK=0001069096" TargetMode="External"/><Relationship Id="rId11" Type="http://schemas.openxmlformats.org/officeDocument/2006/relationships/hyperlink" Target="/cgi-bin/browse-edgar?action=getcompany&amp;CIK=00013741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2026-08-08T03:40:32-04:00</dcterms:created>
  <dcterms:modified xsi:type="dcterms:W3CDTF">2026-08-08T03:40:32-04:00</dcterms:modified>
</cp:coreProperties>
</file>

<file path=docProps/custom.xml><?xml version="1.0" encoding="utf-8"?>
<Properties xmlns="http://schemas.openxmlformats.org/officeDocument/2006/custom-properties" xmlns:vt="http://schemas.openxmlformats.org/officeDocument/2006/docPropsVTypes"/>
</file>