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SEC Form 4    </w:t></w:r></w:p><w:tbl><w:tblGrid><w:gridCol w:w="1000" w:type="dxa"/><w:gridCol w:w="3000" w:type="dxa"/><w:gridCol w:w="1000" w:type="dxa"/></w:tblGrid><w:tblPr><w:tblW w:w="5000" w:type="pct"/><w:tblCellSpacing w:w="0" w:type="dxa"/><w:tblLayout w:type="autofit"/><w:tblBorders><w:top w:val="single" w:sz="0"/><w:left w:val="single" w:sz="0"/><w:right w:val="single" w:sz="0"/><w:bottom w:val="single" w:sz="0"/><w:insideH w:val="single" w:sz="0"/><w:insideV w:val="single" w:sz="0"/></w:tblBorders></w:tblPr><w:tr><w:trPr/><w:tc><w:tcPr><w:tcW w:w="1000" w:type="pct"/><w:vAlign w:val="top"/><w:gridSpan w:val="2"/><w:noWrap/></w:tcPr><w:p><w:pPr><w:jc w:val="center"/></w:pPr><w:r><w:rPr/><w:t xml:space="preserve">FORM 4</w:t></w:r></w:p></w:tc><w:tc><w:tcPr><w:tcW w:w="3000" w:type="pct"/><w:vAlign w:val="center"/><w:noWrap/></w:tcPr><w:p><w:pPr><w:jc w:val="center"/></w:pPr><w:r><w:rPr/><w:t xml:space="preserve">UNITED STATES SECURITIES AND EXCHANGE COMMISSION</w:t></w:r><w:br/><w:r><w:rPr/><w:t xml:space="preserve">Washington, D.C. 20549</w:t></w:r><w:br/><w:br/><w:r><w:rPr/><w:t xml:space="preserve">STATEMENT OF CHANGES IN BENEFICIAL OWNERSHIP</w:t></w:r><w:br/><w:br/><w:r><w:rPr/><w:t xml:space="preserve">Filed pursuant to Section 16(a) of the Securities Exchange Act of 1934</w:t></w:r><w:br/><w:r><w:rPr/><w:t xml:space="preserve">or Section 30(h) of the Investment Company Act of 1940</w:t></w:r></w:p></w:tc><w:tc><w:tcPr><w:tcW w:w="1000" w:type="pct"/><w:vAlign w:val="top"/><w:noWrap/></w:tcPr><w:tbl><w:tblGrid><w:gridCol w:w="5000" w:type="dxa"/></w:tblGrid><w:tblPr><w:tblW w:w="5000" w:type="pct"/><w:tblLayout w:type="autofit"/><w:tblBorders><w:top w:val="single" w:sz="15"/><w:left w:val="single" w:sz="15"/><w:right w:val="single" w:sz="15"/><w:bottom w:val="single" w:sz="15"/><w:insideH w:val="single" w:sz="15"/><w:insideV w:val="single" w:sz="15"/></w:tblBorders></w:tblPr><w:tr><w:trPr/><w:tc><w:tcPr><w:tcW w:w="5000" w:type="pct"/><w:vAlign w:val="top"/><w:noWrap/></w:tcPr><w:p><w:pPr/><w:r><w:rPr/><w:t xml:space="preserve">OMB APPROVAL</w:t></w:r></w:p></w:tc></w:tr><w:tr><w:trPr/><w:tc><w:tcPr><w:tcW w:w="5000" w:type="pct"/><w:vAlign w:val="top"/><w:noWrap/></w:tcPr><w:tbl><w:tblGrid><w:gridCol w:w="5000" w:type="dxa"/><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gridSpan w:val="3"/><w:noWrap/></w:tcPr><w:p><w:pPr/><w:r><w:rPr/><w:t xml:space="preserve">OMB Number:</w:t></w:r></w:p></w:tc><w:tc><w:tcPr><w:tcW w:w="5000" w:type="pct"/><w:vAlign w:val="top"/><w:noWrap/></w:tcPr><w:p><w:pPr/><w:r><w:rPr/><w:t xml:space="preserve">3235-0287</w:t></w:r></w:p></w:tc></w:tr><w:tr><w:trPr/><w:tc><w:tcPr><w:tcW w:w="5000" w:type="pct"/><w:vAlign w:val="top"/><w:gridSpan w:val="4"/><w:noWrap/></w:tcPr><w:p><w:pPr/><w:r><w:rPr/><w:t xml:space="preserve">Estimated average burden</w:t></w:r></w:p></w:tc></w:tr><w:tr><w:trPr/><w:tc><w:tcPr><w:tcW w:w="5000" w:type="pct"/><w:vAlign w:val="top"/><w:gridSpan w:val="3"/><w:noWrap/></w:tcPr><w:p><w:pPr/><w:r><w:rPr/><w:t xml:space="preserve">hours per response:</w:t></w:r></w:p></w:tc><w:tc><w:tcPr><w:tcW w:w="5000" w:type="pct"/><w:vAlign w:val="top"/><w:noWrap/></w:tcPr><w:p><w:pPr/><w:r><w:rPr/><w:t xml:space="preserve">0.5</w:t></w:r></w:p></w:tc></w:tr></w:tbl><w:p/></w:tc></w:tr></w:tbl><w:p/></w:tc></w:tr><w:tr><w:trPr/><w:tc><w:tcPr><w:tcW w:w="5000" w:type="pct"/><w:vAlign w:val="center"/><w:noWrap/></w:tcPr><w:tbl><w:tblGrid><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5000" w:type="pct"/><w:vAlign w:val="center"/><w:noWrap/></w:tcPr><w:p><w:pPr/><w:r><w:rPr/><w:t xml:space="preserve">  </w:t></w:r></w:p></w:tc></w:tr></w:tbl><w:p/></w:tc><w:tc><w:tcPr><w:tcW w:w="5000" w:type="pct"/><w:vAlign w:val="center"/><w:noWrap/></w:tcPr><w:p><w:pPr/><w:r><w:rPr/><w:t xml:space="preserve">Check this box if no longer subject to Section 16. Form 4 or Form 5 obligations may continue.          </w:t></w:r><w:r><w:rPr><w:i w:val="1"/><w:iCs w:val="1"/></w:rPr><w:t xml:space="preserve">See</w:t></w:r><w:r><w:rPr/><w:t xml:space="preserve">         Instruction 1(b).</w:t></w:r></w:p></w:tc></w:tr></w:tbl><w:tbl><w:tblGrid><w:gridCol w:w="1750" w:type="dxa"/><w:gridCol w:w="175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c><w:tcPr><w:tcW w:w="175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Avista Acquisition Corp.</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AVISTA HEALTHCARE PUBLIC ACQUISITION</w:t></w:r></w:p></w:tc></w:tr><w:tr><w:trPr/><w:tc><w:tcPr><w:tcW w:w="5000" w:type="pct"/><w:vAlign w:val="top"/><w:noWrap/></w:tcPr><w:p><w:pPr/><w:r><w:rPr/><w:t xml:space="preserve">CORP. 65 EAST 55TH STREET, 18TH FLOOR</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NEW YORK</w:t></w:r></w:p></w:tc><w:tc><w:tcPr><w:tcW w:w="1650" w:type="pct"/><w:vAlign w:val="top"/><w:noWrap/></w:tcPr><w:p><w:pPr/><w:r><w:rPr/><w:t xml:space="preserve">NY</w:t></w:r></w:p></w:tc><w:tc><w:tcPr><w:tcW w:w="1650" w:type="pct"/><w:vAlign w:val="top"/><w:noWrap/></w:tcPr><w:p><w:pPr/><w:r><w:rPr/><w:t xml:space="preserve">10022</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tc><w:tc><w:tcPr><w:tcW w:w="1750" w:type="pct"/><w:vAlign w:val="top"/><w:noWrap/></w:tcPr><w:p><w:pPr/><w:r><w:rPr/><w:t xml:space="preserve">2. Issuer Name </w:t></w:r><w:r><w:rPr><w:b w:val="1"/><w:bCs w:val="1"/></w:rPr><w:t xml:space="preserve">and</w:t></w:r><w:r><w:rPr/><w:t xml:space="preserve"> Ticker or Trading Symbol      </w:t></w:r><w:br/><w:hyperlink r:id="rId8" w:history="1"><w:r><w:rPr/><w:t xml:space="preserve">Avista Healthcare Public Acquisition Corp.</w:t></w:r></w:hyperlink><w:r><w:rPr/><w:t xml:space="preserve">     [ </w:t></w:r><w:r><w:rPr/><w:t xml:space="preserve">AHPA</w:t></w:r><w:r><w:rPr/><w:t xml:space="preserve"> ]   </w:t></w:r></w:p></w:tc><w:tc><w:tcPr><w:tcW w:w="5000" w:type="pct"/><w:vAlign w:val="top"/><w:noWrap/></w:tcPr><w:p><w:pPr/><w:r><w:rPr/><w:t xml:space="preserve">5. Relationship of Reporting Person(s) to Issuer      </w:t></w:r></w:p><w:p/><w:p><w:pPr/><w:r><w:rPr/><w:t xml:space="preserve">(Check all applicable)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5000" w:type="pct"/><w:vAlign w:val="top"/><w:noWrap/></w:tcPr><w:p><w:pPr/><w:r><w:rPr/><w:t xml:space="preserve">3. Date of Earliest Transaction         (Month/Day/Year)</w:t></w:r><w:br/><w:r><w:rPr/><w:t xml:space="preserve">10/30/2018</w:t></w:r></w:p></w:tc></w:tr><w:tr><w:trPr/><w:tc><w:tcPr><w:tcW w:w="5000" w:type="pct"/><w:vAlign w:val="top"/><w:noWrap/></w:tcPr><w:p><w:pPr/><w:r><w:rPr/><w:t xml:space="preserve">4. If Amendment, Date of Original Filed         (Month/Day/Year)</w:t></w:r><w:br/></w:p></w:tc><w:tc><w:tcPr><w:tcW w:w="5000" w:type="pct"/><w:vAlign w:val="top"/><w:noWrap/></w:tcPr><w:p><w:pPr/><w:r><w:rPr/><w:t xml:space="preserve">6. Individual or Joint/Group Filing (Check Applicable Line)      </w:t></w:r></w:p><w:tbl><w:tblGrid><w:gridCol w:w="750" w:type="dxa"/><w:gridCol w:w="42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4250" w:type="pct"/><w:vAlign w:val="top"/><w:noWrap/></w:tcPr><w:p><w:pPr/><w:r><w:rPr/><w:t xml:space="preserve">Form filed by One Reporting Person</w:t></w:r></w:p></w:tc></w:tr><w:tr><w:trPr/><w:tc><w:tcPr><w:tcW w:w="750" w:type="pct"/><w:vAlign w:val="top"/><w:noWrap/></w:tcPr><w:p><w:pPr><w:jc w:val="center"/></w:pPr><w:r><w:rPr/><w:t xml:space="preserve">X</w:t></w:r></w:p></w:tc><w:tc><w:tcPr><w:tcW w:w="4250" w:type="pct"/><w:vAlign w:val="top"/><w:noWrap/></w:tcPr><w:p><w:pPr/><w:r><w:rPr/><w:t xml:space="preserve">Form filed by More than One Reporting Person</w:t></w:r></w:p></w:tc></w:tr></w:tbl><w:p/></w:tc></w:tr></w:tbl><w:tbl><w:tblGrid><w:gridCol w:w="1800" w:type="dxa"/><w:gridCol w:w="300" w:type="dxa"/><w:gridCol w:w="250" w:type="dxa"/><w:gridCol w:w="350" w:type="dxa"/><w:gridCol w:w="950" w:type="dxa"/><w:gridCol w:w="550" w:type="dxa"/><w:gridCol w:w="450" w:type="dxa"/><w:gridCol w:w="4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1"/><w:noWrap/></w:tcPr><w:p><w:pPr><w:jc w:val="center"/></w:pPr><w:r><w:rPr><w:b w:val="1"/><w:bCs w:val="1"/></w:rPr><w:t xml:space="preserve">Table I - Non-Derivative Securities Acquired, Disposed of, or Beneficially Owned</w:t></w:r></w:p></w:tc></w:tr><w:tr><w:trPr><w:tblHeader w:val="1"/></w:trPr><w:tc><w:tcPr><w:tcW w:w="1800" w:type="pct"/><w:vAlign w:val="top"/><w:noWrap/></w:tcPr><w:p><w:pPr><w:jc w:val="start"/></w:pPr><w:r><w:rPr/><w:t xml:space="preserve">1. Title of Security (Instr.       3)   </w:t></w:r></w:p></w:tc><w:tc><w:tcPr><w:tcW w:w="300" w:type="pct"/><w:vAlign w:val="top"/><w:noWrap/></w:tcPr><w:p><w:pPr><w:jc w:val="start"/></w:pPr><w:r><w:rPr/><w:t xml:space="preserve">2. Transaction Date      (Month/Day/Year)</w:t></w:r></w:p></w:tc><w:tc><w:tcPr><w:tcW w:w="250" w:type="pct"/><w:vAlign w:val="top"/><w:noWrap/></w:tcPr><w:p><w:pPr><w:jc w:val="start"/></w:pPr><w:r><w:rPr/><w:t xml:space="preserve">2A. Deemed Execution Date, if any      (Month/Day/Year)</w:t></w:r></w:p></w:tc><w:tc><w:tcPr><w:tcW w:w="350" w:type="pct"/><w:vAlign w:val="top"/><w:gridSpan w:val="2"/><w:noWrap/></w:tcPr><w:p><w:pPr><w:jc w:val="start"/></w:pPr><w:r><w:rPr/><w:t xml:space="preserve">3. Transaction Code (Instr.       8)   </w:t></w:r></w:p></w:tc><w:tc><w:tcPr><w:tcW w:w="950" w:type="pct"/><w:vAlign w:val="top"/><w:gridSpan w:val="3"/><w:noWrap/></w:tcPr><w:p><w:pPr><w:jc w:val="start"/></w:pPr><w:r><w:rPr/><w:t xml:space="preserve">4. Securities Acquired (A) or Disposed Of (D) (Instr.       3, 4 and 5)   </w:t></w:r></w:p></w:tc><w:tc><w:tcPr><w:tcW w:w="550" w:type="pct"/><w:vAlign w:val="top"/><w:noWrap/></w:tcPr><w:p><w:pPr><w:jc w:val="start"/></w:pPr><w:r><w:rPr/><w:t xml:space="preserve">5.       Amount of Securities Beneficially Owned Following Reported Transaction(s) (Instr.       3 and 4)   </w:t></w:r></w:p></w:tc><w:tc><w:tcPr><w:tcW w:w="450" w:type="pct"/><w:vAlign w:val="top"/><w:noWrap/></w:tcPr><w:p><w:pPr><w:jc w:val="start"/></w:pPr><w:r><w:rPr/><w:t xml:space="preserve">6. Ownership Form: Direct (D) or Indirect (I) (Instr.       4)   </w:t></w:r></w:p></w:tc><w:tc><w:tcPr><w:tcW w:w="400" w:type="pct"/><w:vAlign w:val="top"/><w:noWrap/></w:tcPr><w:p><w:pPr><w:jc w:val="start"/></w:pPr><w:r><w:rPr/><w:t xml:space="preserve">7. Nature of Indirect Beneficial Ownership (Instr.       4)   </w:t></w:r></w:p></w:tc></w:tr><w:tr><w:trPr><w:tblHeader w:val="1"/></w:trPr><w:tc><w:tcPr><w:tcW w:w="200" w:type="pct"/><w:noWrap/></w:tcPr><w:p><w:pPr><w:jc w:val="center"/></w:pPr><w:r><w:rPr/><w:t xml:space="preserve">Code</w:t></w:r></w:p></w:tc><w:tc><w:tcPr><w:tcW w:w="150" w:type="pct"/><w:noWrap/></w:tcPr><w:p><w:pPr><w:jc w:val="center"/></w:pPr><w:r><w:rPr/><w:t xml:space="preserve">V</w:t></w:r></w:p></w:tc><w:tc><w:tcPr><w:tcW w:w="400" w:type="pct"/><w:noWrap/></w:tcPr><w:p><w:pPr><w:jc w:val="center"/></w:pPr><w:r><w:rPr/><w:t xml:space="preserve">Amount</w:t></w:r></w:p></w:tc><w:tc><w:tcPr><w:tcW w:w="250" w:type="pct"/><w:noWrap/></w:tcPr><w:p><w:pPr><w:jc w:val="center"/></w:pPr><w:r><w:rPr/><w:t xml:space="preserve">(A) or (D)</w:t></w:r></w:p></w:tc><w:tc><w:tcPr><w:tcW w:w="300" w:type="pct"/><w:noWrap/></w:tcPr><w:p><w:pPr><w:jc w:val="center"/></w:pPr><w:r><w:rPr/><w:t xml:space="preserve">Price</w:t></w:r></w:p></w:tc></w:tr></w:tbl><w:tbl><w:tblGrid><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gridCol w:w="5000" w:type="dxa"/></w:tblGrid><w:tblPr><w:tblW w:w="5000" w:type="pct"/><w:tblCellSpacing w:w="0" w:type="dxa"/><w:tblLayout w:type="autofit"/><w:tblBorders><w:top w:val="single" w:sz="15"/><w:left w:val="single" w:sz="15"/><w:right w:val="single" w:sz="15"/><w:bottom w:val="single" w:sz="15"/><w:insideH w:val="single" w:sz="15"/><w:insideV w:val="single" w:sz="15"/></w:tblBorders></w:tblPr><w:tr><w:trPr><w:tblHeader w:val="1"/></w:trPr><w:tc><w:tcPr><w:tcW w:w="5000" w:type="pct"/><w:vAlign w:val="top"/><w:gridSpan w:val="16"/><w:noWrap/></w:tcPr><w:p><w:pPr><w:jc w:val="center"/></w:pPr><w:r><w:rPr><w:b w:val="1"/><w:bCs w:val="1"/></w:rPr><w:t xml:space="preserve">Table II - Derivative Securities Acquired, Disposed of, or Beneficially Owned</w:t></w:r><w:br/><w:r><w:rPr><w:b w:val="1"/><w:bCs w:val="1"/></w:rPr><w:t xml:space="preserve">(e.g., puts, calls, warrants, options, convertible securities)</w:t></w:r></w:p></w:tc></w:tr><w:tr><w:trPr><w:tblHeader w:val="1"/></w:trPr><w:tc><w:tcPr><w:tcW w:w="650" w:type="pct"/><w:vAlign w:val="top"/><w:noWrap/></w:tcPr><w:p><w:pPr><w:jc w:val="start"/></w:pPr><w:r><w:rPr/><w:t xml:space="preserve">1. Title of Derivative Security (Instr.       3)   </w:t></w:r></w:p></w:tc><w:tc><w:tcPr><w:tcW w:w="250" w:type="pct"/><w:vAlign w:val="top"/><w:noWrap/></w:tcPr><w:p><w:pPr><w:jc w:val="start"/></w:pPr><w:r><w:rPr/><w:t xml:space="preserve">2. Conversion or Exercise Price of Derivative Security   </w:t></w:r></w:p></w:tc><w:tc><w:tcPr><w:tcW w:w="250" w:type="pct"/><w:vAlign w:val="top"/><w:noWrap/></w:tcPr><w:p><w:pPr><w:jc w:val="start"/></w:pPr><w:r><w:rPr/><w:t xml:space="preserve">3. Transaction Date      (Month/Day/Year)</w:t></w:r></w:p></w:tc><w:tc><w:tcPr><w:tcW w:w="250" w:type="pct"/><w:vAlign w:val="top"/><w:noWrap/></w:tcPr><w:p><w:pPr><w:jc w:val="start"/></w:pPr><w:r><w:rPr/><w:t xml:space="preserve">3A. Deemed Execution Date, if any      (Month/Day/Year)</w:t></w:r></w:p></w:tc><w:tc><w:tcPr><w:tcW w:w="450" w:type="pct"/><w:vAlign w:val="top"/><w:gridSpan w:val="2"/><w:noWrap/></w:tcPr><w:p><w:pPr><w:jc w:val="start"/></w:pPr><w:r><w:rPr/><w:t xml:space="preserve">4. Transaction Code (Instr.       8)   </w:t></w:r></w:p></w:tc><w:tc><w:tcPr><w:tcW w:w="500" w:type="pct"/><w:vAlign w:val="top"/><w:gridSpan w:val="2"/><w:noWrap/></w:tcPr><w:p><w:pPr><w:jc w:val="start"/></w:pPr><w:r><w:rPr/><w:t xml:space="preserve">5.       Number of Derivative Securities Acquired (A) or Disposed of (D) (Instr.       3, 4 and 5)   </w:t></w:r></w:p></w:tc><w:tc><w:tcPr><w:tcW w:w="450" w:type="pct"/><w:vAlign w:val="top"/><w:gridSpan w:val="2"/><w:noWrap/></w:tcPr><w:p><w:pPr><w:jc w:val="start"/></w:pPr><w:r><w:rPr/><w:t xml:space="preserve">6. Date Exercisable and Expiration Date       (Month/Day/Year)</w:t></w:r></w:p></w:tc><w:tc><w:tcPr><w:tcW w:w="850" w:type="pct"/><w:vAlign w:val="top"/><w:gridSpan w:val="2"/><w:noWrap/></w:tcPr><w:p><w:pPr><w:jc w:val="start"/></w:pPr><w:r><w:rPr/><w:t xml:space="preserve">7. Title and Amount of Securities Underlying Derivative Security (Instr.       3 and 4)   </w:t></w:r></w:p></w:tc><w:tc><w:tcPr><w:tcW w:w="300" w:type="pct"/><w:vAlign w:val="top"/><w:noWrap/></w:tcPr><w:p><w:pPr><w:jc w:val="start"/></w:pPr><w:r><w:rPr/><w:t xml:space="preserve">8. Price of Derivative Security (Instr.       5)   </w:t></w:r></w:p></w:tc><w:tc><w:tcPr><w:tcW w:w="300" w:type="pct"/><w:vAlign w:val="top"/><w:noWrap/></w:tcPr><w:p><w:pPr><w:jc w:val="start"/></w:pPr><w:r><w:rPr/><w:t xml:space="preserve">9.       Number of derivative Securities Beneficially Owned Following Reported Transaction(s) (Instr.       4)   </w:t></w:r></w:p></w:tc><w:tc><w:tcPr><w:tcW w:w="300" w:type="pct"/><w:vAlign w:val="top"/><w:noWrap/></w:tcPr><w:p><w:pPr><w:jc w:val="start"/></w:pPr><w:r><w:rPr/><w:t xml:space="preserve">10. Ownership Form: Direct (D) or Indirect (I) (Instr.       4)   </w:t></w:r></w:p></w:tc><w:tc><w:tcPr><w:tcW w:w="350" w:type="pct"/><w:vAlign w:val="top"/><w:noWrap/></w:tcPr><w:p><w:pPr><w:jc w:val="start"/></w:pPr><w:r><w:rPr/><w:t xml:space="preserve">11. Nature of Indirect Beneficial Ownership (Instr.       4)   </w:t></w:r></w:p></w:tc></w:tr><w:tr><w:trPr><w:tblHeader w:val="1"/></w:trPr><w:tc><w:tcPr><w:tcW w:w="200" w:type="pct"/><w:vAlign w:val="bottom"/><w:noWrap/></w:tcPr><w:p><w:pPr><w:jc w:val="center"/></w:pPr><w:r><w:rPr/><w:t xml:space="preserve">Code</w:t></w:r></w:p></w:tc><w:tc><w:tcPr><w:tcW w:w="200" w:type="pct"/><w:vAlign w:val="bottom"/><w:noWrap/></w:tcPr><w:p><w:pPr><w:jc w:val="center"/></w:pPr><w:r><w:rPr/><w:t xml:space="preserve">V</w:t></w:r></w:p></w:tc><w:tc><w:tcPr><w:tcW w:w="250" w:type="pct"/><w:vAlign w:val="bottom"/><w:noWrap/></w:tcPr><w:p><w:pPr><w:jc w:val="center"/></w:pPr><w:r><w:rPr/><w:t xml:space="preserve">(A)</w:t></w:r></w:p></w:tc><w:tc><w:tcPr><w:tcW w:w="250" w:type="pct"/><w:vAlign w:val="bottom"/><w:noWrap/></w:tcPr><w:p><w:pPr><w:jc w:val="center"/></w:pPr><w:r><w:rPr/><w:t xml:space="preserve">(D)</w:t></w:r></w:p></w:tc><w:tc><w:tcPr><w:tcW w:w="250" w:type="pct"/><w:vAlign w:val="bottom"/><w:noWrap/></w:tcPr><w:p><w:pPr><w:jc w:val="center"/></w:pPr><w:r><w:rPr/><w:t xml:space="preserve">Date Exercisable</w:t></w:r></w:p></w:tc><w:tc><w:tcPr><w:tcW w:w="200" w:type="pct"/><w:vAlign w:val="bottom"/><w:noWrap/></w:tcPr><w:p><w:pPr><w:jc w:val="center"/></w:pPr><w:r><w:rPr/><w:t xml:space="preserve">Expiration Date</w:t></w:r></w:p></w:tc><w:tc><w:tcPr><w:tcW w:w="500" w:type="pct"/><w:vAlign w:val="bottom"/><w:noWrap/></w:tcPr><w:p><w:pPr><w:jc w:val="center"/></w:pPr><w:r><w:rPr/><w:t xml:space="preserve">Title</w:t></w:r></w:p></w:tc><w:tc><w:tcPr><w:tcW w:w="350" w:type="pct"/><w:vAlign w:val="bottom"/><w:noWrap/></w:tcPr><w:p><w:pPr><w:jc w:val="center"/></w:pPr><w:r><w:rPr/><w:t xml:space="preserve">Amount or Number of Shares</w:t></w:r></w:p></w:tc></w:tr><w:tr><w:trPr/><w:tc><w:tcPr><w:tcW w:w="5000" w:type="pct"/><w:noWrap/></w:tcPr><w:p><w:pPr><w:jc w:val="start"/></w:pPr><w:r><w:rPr/><w:t xml:space="preserve">Class B Ordinary Shares</w:t></w:r></w:p></w:tc><w:tc><w:tcPr><w:tcW w:w="5000" w:type="pct"/><w:noWrap/></w:tcPr><w:p><w:pPr><w:jc w:val="center"/></w:pPr><w:r><w:rPr><w:vertAlign w:val="superscript"/></w:rPr><w:t xml:space="preserve">(1)</w:t></w:r></w:p></w:tc><w:tc><w:tcPr><w:tcW w:w="5000" w:type="pct"/><w:noWrap/></w:tcPr><w:p><w:pPr><w:jc w:val="center"/></w:pPr><w:r><w:rPr/><w:t xml:space="preserve">10/30/2018</w:t></w:r></w:p></w:tc><w:tc><w:tcPr><w:tcW w:w="5000" w:type="pct"/><w:noWrap/></w:tcPr><w:p><w:pPr><w:jc w:val="center"/></w:pPr></w:p></w:tc><w:tc><w:tcPr><w:tcW w:w="5000" w:type="pct"/><w:noWrap/></w:tcPr><w:p><w:pPr><w:jc w:val="center"/></w:pPr><w:r><w:rPr/><w:t xml:space="preserve">J</w:t></w:r><w:r><w:rPr><w:vertAlign w:val="superscript"/></w:rPr><w:t xml:space="preserve">(2)</w:t></w:r></w:p></w:tc><w:tc><w:tcPr><w:tcW w:w="5000" w:type="pct"/><w:noWrap/></w:tcPr><w:p><w:pPr><w:jc w:val="center"/></w:pPr></w:p></w:tc><w:tc><w:tcPr><w:tcW w:w="5000" w:type="pct"/><w:noWrap/></w:tcPr><w:p><w:pPr><w:jc w:val="center"/></w:pPr><w:r><w:rPr/><w:t xml:space="preserve">26,984</w:t></w:r></w:p></w:tc><w:tc><w:tcPr><w:tcW w:w="5000" w:type="pct"/><w:noWrap/></w:tcPr><w:p><w:pPr><w:jc w:val="center"/></w:pPr></w:p></w:tc><w:tc><w:tcPr><w:tcW w:w="5000" w:type="pct"/><w:noWrap/></w:tcPr><w:p><w:pPr><w:jc w:val="center"/></w:pPr><w:r><w:rPr/><w:t xml:space="preserve">                            </w:t></w:r><w:r><w:rPr><w:vertAlign w:val="superscript"/></w:rPr><w:t xml:space="preserve">(1)</w:t></w:r></w:p></w:tc><w:tc><w:tcPr><w:tcW w:w="5000" w:type="pct"/><w:noWrap/></w:tcPr><w:p><w:pPr><w:jc w:val="center"/></w:pPr><w:r><w:rPr/><w:t xml:space="preserve">                            </w:t></w:r><w:r><w:rPr><w:vertAlign w:val="superscript"/></w:rPr><w:t xml:space="preserve">(1)</w:t></w:r></w:p></w:tc><w:tc><w:tcPr><w:tcW w:w="5000" w:type="pct"/><w:noWrap/></w:tcPr><w:p><w:pPr><w:jc w:val="center"/></w:pPr><w:r><w:rPr/><w:t xml:space="preserve">Class A Ordinary Shares</w:t></w:r></w:p></w:tc><w:tc><w:tcPr><w:tcW w:w="5000" w:type="pct"/><w:noWrap/></w:tcPr><w:p><w:pPr><w:jc w:val="center"/></w:pPr><w:r><w:rPr/><w:t xml:space="preserve">26,984</w:t></w:r></w:p></w:tc><w:tc><w:tcPr><w:tcW w:w="5000" w:type="pct"/><w:noWrap/></w:tcPr><w:p><w:pPr><w:jc w:val="center"/></w:pPr><w:r><w:rPr><w:vertAlign w:val="superscript"/></w:rPr><w:t xml:space="preserve">(2)</w:t></w:r></w:p></w:tc><w:tc><w:tcPr><w:tcW w:w="5000" w:type="pct"/><w:noWrap/></w:tcPr><w:p><w:pPr><w:jc w:val="center"/></w:pPr><w:r><w:rPr/><w:t xml:space="preserve">4,296,359</w:t></w:r></w:p></w:tc><w:tc><w:tcPr><w:tcW w:w="5000" w:type="pct"/><w:noWrap/></w:tcPr><w:p><w:pPr><w:jc w:val="center"/></w:pPr><w:r><w:rPr/><w:t xml:space="preserve">D</w:t></w:r><w:r><w:rPr><w:vertAlign w:val="superscript"/></w:rPr><w:t xml:space="preserve">(3)</w:t></w:r><w:r><w:rPr><w:vertAlign w:val="superscript"/></w:rPr><w:t xml:space="preserve">(4)</w:t></w:r><w:r><w:rPr><w:vertAlign w:val="superscript"/></w:rPr><w:t xml:space="preserve">(5)</w:t></w:r></w:p></w:tc><w:tc><w:tcPr><w:tcW w:w="5000" w:type="pct"/><w:noWrap/></w:tcPr><w:p><w:pPr><w:jc w:val="start"/></w:pPr></w:p></w:tc></w:tr></w:tbl><w:tbl><w:tblGrid><w:gridCol w:w="2000" w:type="dxa"/></w:tblGrid><w:tblPr><w:tblW w:w="2000" w:type="pct"/><w:tblCellSpacing w:w="0" w:type="dxa"/><w:tblLayout w:type="autofit"/><w:tblBorders><w:top w:val="single" w:sz="15"/><w:left w:val="single" w:sz="15"/><w:right w:val="single" w:sz="15"/><w:bottom w:val="single" w:sz="15"/><w:insideH w:val="single" w:sz="15"/><w:insideV w:val="single" w:sz="15"/></w:tblBorders></w:tblP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7" w:history="1"><w:r><w:rPr/><w:t xml:space="preserve">Avista Acquisition Corp.</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AVISTA HEALTHCARE PUBLIC ACQUISITION</w:t></w:r></w:p></w:tc></w:tr><w:tr><w:trPr/><w:tc><w:tcPr><w:tcW w:w="5000" w:type="pct"/><w:vAlign w:val="top"/><w:noWrap/></w:tcPr><w:p><w:pPr/><w:r><w:rPr/><w:t xml:space="preserve">CORP. 65 EAST 55TH STREET, 18TH FLOOR</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NEW YORK</w:t></w:r></w:p></w:tc><w:tc><w:tcPr><w:tcW w:w="1650" w:type="pct"/><w:vAlign w:val="top"/><w:noWrap/></w:tcPr><w:p><w:pPr/><w:r><w:rPr/><w:t xml:space="preserve">NY</w:t></w:r></w:p></w:tc><w:tc><w:tcPr><w:tcW w:w="1650" w:type="pct"/><w:vAlign w:val="top"/><w:noWrap/></w:tcPr><w:p><w:pPr/><w:r><w:rPr/><w:t xml:space="preserve">10022</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9" w:history="1"><w:r><w:rPr/><w:t xml:space="preserve">Avista Acquisition, LLC</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AVISTA HEALTHCARE PUBLIC ACQUISITION</w:t></w:r></w:p></w:tc></w:tr><w:tr><w:trPr/><w:tc><w:tcPr><w:tcW w:w="5000" w:type="pct"/><w:vAlign w:val="top"/><w:noWrap/></w:tcPr><w:p><w:pPr/><w:r><w:rPr/><w:t xml:space="preserve">CORP. 65 EAST 55TH STREET, 18TH FLOOR</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NEW YORK</w:t></w:r></w:p></w:tc><w:tc><w:tcPr><w:tcW w:w="1650" w:type="pct"/><w:vAlign w:val="top"/><w:noWrap/></w:tcPr><w:p><w:pPr/><w:r><w:rPr/><w:t xml:space="preserve">NY</w:t></w:r></w:p></w:tc><w:tc><w:tcPr><w:tcW w:w="1650" w:type="pct"/><w:vAlign w:val="top"/><w:noWrap/></w:tcPr><w:p><w:pPr/><w:r><w:rPr/><w:t xml:space="preserve">10022</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0" w:history="1"><w:r><w:rPr/><w:t xml:space="preserve">Burgstahler David F</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AVISTA HEALTHCARE PUBLIC ACQUISITION</w:t></w:r></w:p></w:tc></w:tr><w:tr><w:trPr/><w:tc><w:tcPr><w:tcW w:w="5000" w:type="pct"/><w:vAlign w:val="top"/><w:noWrap/></w:tcPr><w:p><w:pPr/><w:r><w:rPr/><w:t xml:space="preserve">CORP. 65 EAST 55TH STREET, 18TH FLOOR</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NEW YORK</w:t></w:r></w:p></w:tc><w:tc><w:tcPr><w:tcW w:w="1650" w:type="pct"/><w:vAlign w:val="top"/><w:noWrap/></w:tcPr><w:p><w:pPr/><w:r><w:rPr/><w:t xml:space="preserve">NY</w:t></w:r></w:p></w:tc><w:tc><w:tcPr><w:tcW w:w="1650" w:type="pct"/><w:vAlign w:val="top"/><w:noWrap/></w:tcPr><w:p><w:pPr/><w:r><w:rPr/><w:t xml:space="preserve">10022</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President & CEO</w:t></w:r></w:p></w:tc><w:tc><w:tcPr><w:tcW w:w="750" w:type="pct"/><w:vAlign w:val="top"/><w:noWrap/></w:tcPr><w:p><w:pPr><w:jc w:val="center"/></w:pPr></w:p></w:tc><w:tc><w:tcPr><w:tcW w:w="1750" w:type="pct"/><w:vAlign w:val="top"/><w:noWrap/></w:tcPr><w:p><w:pPr><w:jc w:val="start"/></w:pPr></w:p></w:tc></w:tr></w:tbl><w:p/></w:tc></w:tr><w:tr><w:trPr/><w:tc><w:tcPr><w:tcW w:w="2000" w:type="pct"/><w:vAlign w:val="top"/><w:noWrap/></w:tcPr><w:p><w:pPr/><w:r><w:rPr/><w:t xml:space="preserve">1. Name and Address of Reporting Person</w:t></w:r></w:p><w:p><w:pPr/><w:r><w:rPr><w:vertAlign w:val="superscript"/></w:rPr><w:t xml:space="preserve">*</w:t></w:r></w:p><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hyperlink r:id="rId11" w:history="1"><w:r><w:rPr/><w:t xml:space="preserve">Dean Thompson</w:t></w:r></w:hyperlink></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(Last)</w:t></w:r></w:p></w:tc><w:tc><w:tcPr><w:tcW w:w="1650" w:type="pct"/><w:vAlign w:val="top"/><w:noWrap/></w:tcPr><w:p><w:pPr/><w:r><w:rPr/><w:t xml:space="preserve">(First)</w:t></w:r></w:p></w:tc><w:tc><w:tcPr><w:tcW w:w="1650" w:type="pct"/><w:vAlign w:val="top"/><w:noWrap/></w:tcPr><w:p><w:pPr/><w:r><w:rPr/><w:t xml:space="preserve">(Middle)</w:t></w:r></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vAlign w:val="top"/><w:noWrap/></w:tcPr><w:p><w:pPr/><w:r><w:rPr/><w:t xml:space="preserve">C/O AVISTA HEALTHCARE PUBLIC ACQUISITION</w:t></w:r></w:p></w:tc></w:tr><w:tr><w:trPr/><w:tc><w:tcPr><w:tcW w:w="5000" w:type="pct"/><w:vAlign w:val="top"/><w:noWrap/></w:tcPr><w:p><w:pPr/><w:r><w:rPr/><w:t xml:space="preserve">CORP. 65 EAST 55TH STREET, 18TH FLOOR</w:t></w:r></w:p></w:tc></w:tr></w:tbl><w:p><w:pPr><w:spacing w:before="120" w:after="120" w:line="240" w:lineRule="auto"/><w:pBdr><w:bottom w:val="single" w:sz="1" w:color="000000"/></w:pBdr></w:pPr><w:r><w:rPr><w:sz w:val="6"/><w:szCs w:val="6"/></w:rPr><w:t xml:space="preserve"></w:t></w:r></w:p><w:p><w:pPr/><w:r><w:rPr/><w:t xml:space="preserve">(Street)</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NEW YORK</w:t></w:r></w:p></w:tc><w:tc><w:tcPr><w:tcW w:w="1650" w:type="pct"/><w:vAlign w:val="top"/><w:noWrap/></w:tcPr><w:p><w:pPr/><w:r><w:rPr/><w:t xml:space="preserve">NY</w:t></w:r></w:p></w:tc><w:tc><w:tcPr><w:tcW w:w="1650" w:type="pct"/><w:vAlign w:val="top"/><w:noWrap/></w:tcPr><w:p><w:pPr/><w:r><w:rPr/><w:t xml:space="preserve">10022</w:t></w:r></w:p></w:tc></w:tr></w:tbl><w:p><w:pPr><w:spacing w:before="120" w:after="120" w:line="240" w:lineRule="auto"/><w:pBdr><w:bottom w:val="single" w:sz="1" w:color="000000"/></w:pBdr></w:pPr><w:r><w:rPr><w:sz w:val="6"/><w:szCs w:val="6"/></w:rPr><w:t xml:space="preserve"></w:t></w:r></w:p><w:tbl><w:tblGrid><w:gridCol w:w="1650" w:type="dxa"/><w:gridCol w:w="1650" w:type="dxa"/><w:gridCol w:w="1650" w:type="dxa"/></w:tblGrid><w:tblPr><w:tblW w:w="5000" w:type="pct"/><w:tblLayout w:type="autofit"/><w:tblBorders><w:top w:val="single" w:sz="0"/><w:left w:val="single" w:sz="0"/><w:right w:val="single" w:sz="0"/><w:bottom w:val="single" w:sz="0"/><w:insideH w:val="single" w:sz="0"/><w:insideV w:val="single" w:sz="0"/></w:tblBorders></w:tblPr><w:tr><w:trPr/><w:tc><w:tcPr><w:tcW w:w="1650" w:type="pct"/><w:vAlign w:val="top"/><w:noWrap/></w:tcPr><w:p><w:pPr/><w:r><w:rPr/><w:t xml:space="preserve">(City)</w:t></w:r></w:p></w:tc><w:tc><w:tcPr><w:tcW w:w="1650" w:type="pct"/><w:vAlign w:val="top"/><w:noWrap/></w:tcPr><w:p><w:pPr/><w:r><w:rPr/><w:t xml:space="preserve">(State)</w:t></w:r></w:p></w:tc><w:tc><w:tcPr><w:tcW w:w="1650" w:type="pct"/><w:vAlign w:val="top"/><w:noWrap/></w:tcPr><w:p><w:pPr/><w:r><w:rPr/><w:t xml:space="preserve">(Zip)</w:t></w:r></w:p></w:tc></w:tr></w:tbl><w:p><w:pPr><w:spacing w:before="120" w:after="120" w:line="240" w:lineRule="auto"/><w:pBdr><w:bottom w:val="single" w:sz="1" w:color="000000"/></w:pBdr></w:pPr><w:r><w:rPr><w:sz w:val="6"/><w:szCs w:val="6"/></w:rPr><w:t xml:space="preserve"></w:t></w:r></w:p><w:p><w:pPr/><w:r><w:rPr/><w:t xml:space="preserve">          Relationship of Reporting Person(s) to Issuer      </w:t></w:r></w:p><w:p><w:pPr><w:spacing w:before="120" w:after="120" w:line="240" w:lineRule="auto"/><w:pBdr><w:bottom w:val="single" w:sz="1" w:color="000000"/></w:pBdr></w:pPr><w:r><w:rPr><w:sz w:val="6"/><w:szCs w:val="6"/></w:rPr><w:t xml:space="preserve"></w:t></w:r></w:p><w:tbl><w:tblGrid><w:gridCol w:w="750" w:type="dxa"/><w:gridCol w:w="1750" w:type="dxa"/><w:gridCol w:w="750" w:type="dxa"/><w:gridCol w:w="1750" w:type="dxa"/></w:tblGrid><w:tblPr><w:tblW w:w="5000" w:type="pct"/><w:tblLayout w:type="autofit"/><w:tblBorders><w:top w:val="single" w:sz="0"/><w:left w:val="single" w:sz="0"/><w:right w:val="single" w:sz="0"/><w:bottom w:val="single" w:sz="0"/><w:insideH w:val="single" w:sz="0"/><w:insideV w:val="single" w:sz="0"/></w:tblBorders></w:tblPr><w:tr><w:trPr/><w:tc><w:tcPr><w:tcW w:w="750" w:type="pct"/><w:vAlign w:val="top"/><w:noWrap/></w:tcPr><w:p><w:pPr><w:jc w:val="center"/></w:pPr><w:r><w:rPr/><w:t xml:space="preserve">X</w:t></w:r></w:p></w:tc><w:tc><w:tcPr><w:tcW w:w="1750" w:type="pct"/><w:vAlign w:val="top"/><w:noWrap/></w:tcPr><w:p><w:pPr/><w:r><w:rPr/><w:t xml:space="preserve">Director</w:t></w:r></w:p></w:tc><w:tc><w:tcPr><w:tcW w:w="750" w:type="pct"/><w:vAlign w:val="top"/><w:noWrap/></w:tcPr><w:p><w:pPr><w:jc w:val="center"/></w:pPr><w:r><w:rPr/><w:t xml:space="preserve">X</w:t></w:r></w:p></w:tc><w:tc><w:tcPr><w:tcW w:w="1750" w:type="pct"/><w:vAlign w:val="top"/><w:noWrap/></w:tcPr><w:p><w:pPr/><w:r><w:rPr/><w:t xml:space="preserve">10% Owner</w:t></w:r></w:p></w:tc></w:tr><w:tr><w:trPr/><w:tc><w:tcPr><w:tcW w:w="5000" w:type="pct"/><w:vAlign w:val="top"/><w:noWrap/></w:tcPr><w:p><w:pPr><w:jc w:val="center"/></w:pPr><w:r><w:rPr/><w:t xml:space="preserve">X</w:t></w:r></w:p></w:tc><w:tc><w:tcPr><w:tcW w:w="5000" w:type="pct"/><w:vAlign w:val="top"/><w:noWrap/></w:tcPr><w:p><w:pPr/><w:r><w:rPr/><w:t xml:space="preserve">Officer (give title below)</w:t></w:r></w:p></w:tc><w:tc><w:tcPr><w:tcW w:w="5000" w:type="pct"/><w:vAlign w:val="top"/><w:noWrap/></w:tcPr><w:p><w:pPr><w:jc w:val="center"/></w:pPr></w:p></w:tc><w:tc><w:tcPr><w:tcW w:w="5000" w:type="pct"/><w:vAlign w:val="top"/><w:noWrap/></w:tcPr><w:p><w:pPr/><w:r><w:rPr/><w:t xml:space="preserve">Other (specify below)</w:t></w:r></w:p></w:tc></w:tr><w:tr><w:trPr/><w:tc><w:tcPr><w:tcW w:w="750" w:type="pct"/><w:vAlign w:val="top"/><w:noWrap/></w:tcPr><w:p><w:pPr><w:jc w:val="center"/></w:pPr></w:p></w:tc><w:tc><w:tcPr><w:tcW w:w="1750" w:type="pct"/><w:vAlign w:val="top"/><w:noWrap/></w:tcPr><w:p><w:pPr><w:jc w:val="start"/></w:pPr><w:r><w:rPr><w:color w:val="blue"/></w:rPr><w:t xml:space="preserve">Executive Chairman</w:t></w:r></w:p></w:tc><w:tc><w:tcPr><w:tcW w:w="750" w:type="pct"/><w:vAlign w:val="top"/><w:noWrap/></w:tcPr><w:p><w:pPr><w:jc w:val="center"/></w:pPr></w:p></w:tc><w:tc><w:tcPr><w:tcW w:w="1750" w:type="pct"/><w:vAlign w:val="top"/><w:noWrap/></w:tcPr><w:p><w:pPr><w:jc w:val="start"/></w:pPr></w:p></w:tc></w:tr></w:tbl><w:p/></w:tc></w:tr></w:tbl><w:tbl><w:tblGrid><w:gridCol w:w="5000" w:type="dxa"/></w:tblGrid><w:tblPr><w:tblW w:w="5000" w:type="pct"/><w:tblLayout w:type="autofit"/><w:tblBorders><w:top w:val="single" w:sz="0"/><w:left w:val="single" w:sz="0"/><w:right w:val="single" w:sz="0"/><w:bottom w:val="single" w:sz="0"/><w:insideH w:val="single" w:sz="0"/><w:insideV w:val="single" w:sz="0"/></w:tblBorders></w:tblPr><w:tr><w:trPr/><w:tc><w:tcPr><w:tcW w:w="5000" w:type="pct"/><w:noWrap/></w:tcPr><w:p><w:pPr/><w:r><w:rPr><w:b w:val="1"/><w:bCs w:val="1"/></w:rPr><w:t xml:space="preserve">Explanation of Responses:</w:t></w:r></w:p></w:tc></w:tr><w:tr><w:trPr/><w:tc><w:tcPr><w:tcW w:w="5000" w:type="pct"/><w:noWrap/></w:tcPr><w:p><w:pPr/><w:r><w:rPr/><w:t xml:space="preserve">1. Pursuant to the Amended and Restated Memorandum and Articles of Association (the "Articles") of the Issuer, the Class B ordinary shares, par value $0.0001 per share (the "Class B Shares") will automatically convert into Class A ordinary shares, par value $0.0001 per share, of the Issuer at the time of the Issuer's Business Combination, as defined in the Articles, on a one-for-one basis, subject to adjustment, and have no expiration date.</w:t></w:r></w:p></w:tc></w:tr><w:tr><w:trPr/><w:tc><w:tcPr><w:tcW w:w="5000" w:type="pct"/><w:noWrap/></w:tcPr><w:p><w:pPr/><w:r><w:rPr/><w:t xml:space="preserve">2. Represents 7,158 Class B ordinary shares received by Avista Acquisition Corp. (the "Sponsor") from each of Hakan Bjorklund, Charles Harwood and Robert O'Neil and 5,510 Class B ordinary shares received from Brian Markison, in each case, for no consideration.</w:t></w:r></w:p></w:tc></w:tr><w:tr><w:trPr/><w:tc><w:tcPr><w:tcW w:w="5000" w:type="pct"/><w:noWrap/></w:tcPr><w:p><w:pPr/><w:r><w:rPr/><w:t xml:space="preserve">3. Directly owned by Sponsor. The sole shareholder of Sponsor is Avista Acquisition, LLC ("Avista Acquisition"). Thompson Dean and David Burgstahler are the managers of Avista Acquisition (and, together with Sponsor, Avista Acquisition, Messrs. Dean and Burgstahler are the "Reporting Persons").</w:t></w:r></w:p></w:tc></w:tr><w:tr><w:trPr/><w:tc><w:tcPr><w:tcW w:w="5000" w:type="pct"/><w:noWrap/></w:tcPr><w:p><w:pPr/><w:r><w:rPr/><w:t xml:space="preserve">4. Because of the relationship among the Reporting Persons, the Reporting Persons may be deemed to beneficially own the securities reported herein to the extent of their respective pecuniary interests. Each Reporting Person disclaims beneficial ownership of the securities reported herein, except to the extent of such Reporting Person's pecuniary interest therein, if any.</w:t></w:r></w:p></w:tc></w:tr><w:tr><w:trPr/><w:tc><w:tcPr><w:tcW w:w="5000" w:type="pct"/><w:noWrap/></w:tcPr><w:p><w:pPr/><w:r><w:rPr/><w:t xml:space="preserve">5. Pursuant to Rule 16a-1(a)(4) under the Exchange Act, this filing shall not be deemed an admission that the Reporting Persons are, for purposes of Section 16 of the Exchange Act or otherwise, the beneficial owners of any equity securities in excess of their respective pecuniary interests.</w:t></w:r></w:p></w:tc></w:tr><w:tr><w:trPr/><w:tc><w:tcPr><w:tcW w:w="5000" w:type="pct"/><w:noWrap/></w:tcPr><w:p><w:pPr/><w:r><w:rPr><w:b w:val="1"/><w:bCs w:val="1"/></w:rPr><w:t xml:space="preserve">Remarks:</w:t></w:r></w:p></w:tc></w:tr><w:tr><w:trPr/><w:tc><w:tcPr><w:tcW w:w="5000" w:type="pct"/><w:noWrap/></w:tcPr><w:p><w:pPr/><w:r><w:rPr/><w:t xml:space="preserve">Exhibit 99.1 Joint Filer Information, incorporated herein by reference.</w:t></w:r></w:p></w:tc></w:tr></w:tbl><w:tbl><w:tblGrid><w:gridCol w:w="3000" w:type="dxa"/><w:gridCol w:w="1000" w:type="dxa"/><w:gridCol w:w="1000" w:type="dxa"/></w:tblGrid><w:tblPr><w:tblW w:w="5000" w:type="pct"/><w:tblLayout w:type="autofit"/><w:tblBorders><w:top w:val="single" w:sz="0"/><w:left w:val="single" w:sz="0"/><w:right w:val="single" w:sz="0"/><w:bottom w:val="single" w:sz="0"/><w:insideH w:val="single" w:sz="0"/><w:insideV w:val="single" w:sz="0"/></w:tblBorders></w:tblPr><w:tr><w:trPr/><w:tc><w:tcPr><w:tcW w:w="3000" w:type="pct"/><w:noWrap/></w:tcPr><w:p><w:pPr/></w:p></w:tc><w:tc><w:tcPr><w:tcW w:w="1000" w:type="pct"/><w:noWrap/></w:tcPr><w:p><w:pPr/><w:r><w:rPr><w:u w:val="single"/></w:rPr><w:t xml:space="preserve">By: /s/ Benjamin Silbert, Attorney-in-Fact for Avista Acquisition Corp.</w:t></w:r></w:p></w:tc><w:tc><w:tcPr><w:tcW w:w="1000" w:type="pct"/><w:noWrap/></w:tcPr><w:p><w:pPr/><w:r><w:rPr><w:u w:val="single"/></w:rPr><w:t xml:space="preserve">11/01/2018</w:t></w:r></w:p></w:tc></w:tr><w:tr><w:trPr/><w:tc><w:tcPr><w:tcW w:w="3000" w:type="pct"/><w:noWrap/></w:tcPr><w:p><w:pPr/></w:p></w:tc><w:tc><w:tcPr><w:tcW w:w="1000" w:type="pct"/><w:noWrap/></w:tcPr><w:p><w:pPr/><w:r><w:rPr><w:u w:val="single"/></w:rPr><w:t xml:space="preserve">By: /s/ Benjamin Silbert, Attorney-in-Fact for Avista Acquisition, LLC.</w:t></w:r></w:p></w:tc><w:tc><w:tcPr><w:tcW w:w="1000" w:type="pct"/><w:noWrap/></w:tcPr><w:p><w:pPr/><w:r><w:rPr><w:u w:val="single"/></w:rPr><w:t xml:space="preserve">11/01/2018</w:t></w:r></w:p></w:tc></w:tr><w:tr><w:trPr/><w:tc><w:tcPr><w:tcW w:w="3000" w:type="pct"/><w:noWrap/></w:tcPr><w:p><w:pPr/></w:p></w:tc><w:tc><w:tcPr><w:tcW w:w="1000" w:type="pct"/><w:noWrap/></w:tcPr><w:p><w:pPr/><w:r><w:rPr><w:u w:val="single"/></w:rPr><w:t xml:space="preserve">By: /s/ Benjamin Silbert, Attorney-in-Fact for Thompson Dean</w:t></w:r></w:p></w:tc><w:tc><w:tcPr><w:tcW w:w="1000" w:type="pct"/><w:noWrap/></w:tcPr><w:p><w:pPr/><w:r><w:rPr><w:u w:val="single"/></w:rPr><w:t xml:space="preserve">11/01/2018</w:t></w:r></w:p></w:tc></w:tr><w:tr><w:trPr/><w:tc><w:tcPr><w:tcW w:w="3000" w:type="pct"/><w:noWrap/></w:tcPr><w:p><w:pPr/></w:p></w:tc><w:tc><w:tcPr><w:tcW w:w="1000" w:type="pct"/><w:noWrap/></w:tcPr><w:p><w:pPr/><w:r><w:rPr><w:u w:val="single"/></w:rPr><w:t xml:space="preserve">By: /s/ Benjamin Silbert, Attorney-in-Fact for David Burgstahler</w:t></w:r></w:p></w:tc><w:tc><w:tcPr><w:tcW w:w="1000" w:type="pct"/><w:noWrap/></w:tcPr><w:p><w:pPr/><w:r><w:rPr><w:u w:val="single"/></w:rPr><w:t xml:space="preserve">11/01/2018</w:t></w:r></w:p></w:tc></w:tr><w:tr><w:trPr/><w:tc><w:tcPr><w:tcW w:w="5000" w:type="pct"/><w:noWrap/></w:tcPr><w:p><w:pPr/></w:p></w:tc><w:tc><w:tcPr><w:tcW w:w="5000" w:type="pct"/><w:noWrap/></w:tcPr><w:p><w:pPr/><w:r><w:rPr/><w:t xml:space="preserve">** Signature of Reporting Person</w:t></w:r></w:p></w:tc><w:tc><w:tcPr><w:tcW w:w="5000" w:type="pct"/><w:noWrap/></w:tcPr><w:p><w:pPr/><w:r><w:rPr/><w:t xml:space="preserve">Date</w:t></w:r></w:p></w:tc></w:tr><w:tr><w:trPr/><w:tc><w:tcPr><w:tcW w:w="5000" w:type="pct"/><w:gridSpan w:val="3"/><w:noWrap/></w:tcPr><w:p><w:pPr/><w:r><w:rPr/><w:t xml:space="preserve">Reminder: Report on a separate line for each class of securities beneficially owned directly or indirectly.</w:t></w:r></w:p></w:tc></w:tr><w:tr><w:trPr/><w:tc><w:tcPr><w:tcW w:w="5000" w:type="pct"/><w:gridSpan w:val="3"/><w:noWrap/></w:tcPr><w:p><w:pPr/><w:r><w:rPr/><w:t xml:space="preserve">* If the form is filed by more than one reporting person,                   </w:t></w:r><w:r><w:rPr><w:i w:val="1"/><w:iCs w:val="1"/></w:rPr><w:t xml:space="preserve">see</w:t></w:r><w:r><w:rPr/><w:t xml:space="preserve">                  Instruction                   4                  (b)(v).</w:t></w:r></w:p></w:tc></w:tr><w:tr><w:trPr/><w:tc><w:tcPr><w:tcW w:w="5000" w:type="pct"/><w:gridSpan w:val="3"/><w:noWrap/></w:tcPr><w:p><w:pPr/><w:r><w:rPr/><w:t xml:space="preserve">** Intentional misstatements or omissions of facts constitute Federal Criminal Violations                   </w:t></w:r><w:r><w:rPr><w:i w:val="1"/><w:iCs w:val="1"/></w:rPr><w:t xml:space="preserve">See</w:t></w:r><w:r><w:rPr/><w:t xml:space="preserve">                  18 U.S.C. 1001 and 15 U.S.C. 78ff(a).</w:t></w:r></w:p></w:tc></w:tr><w:tr><w:trPr/><w:tc><w:tcPr><w:tcW w:w="5000" w:type="pct"/><w:gridSpan w:val="3"/><w:noWrap/></w:tcPr><w:p><w:pPr/><w:r><w:rPr/><w:t xml:space="preserve">Note: File three copies of this Form, one of which must be manually signed. If space is insufficient,                   </w:t></w:r><w:r><w:rPr><w:i w:val="1"/><w:iCs w:val="1"/></w:rPr><w:t xml:space="preserve">see</w:t></w:r><w:r><w:rPr/><w:t xml:space="preserve">                  Instruction 6 for procedure.</w:t></w:r></w:p></w:tc></w:tr><w:tr><w:trPr/><w:tc><w:tcPr><w:tcW w:w="5000" w:type="pct"/><w:gridSpan w:val="3"/><w:noWrap/></w:tcPr><w:p><w:pPr/><w:r><w:rPr><w:b w:val="1"/><w:bCs w:val="1"/></w:rPr><w:t xml:space="preserve">Persons who respond to the collection of information contained in this form are not required to respond unless the form displays a currently valid OMB Number.</w:t></w:r></w:p></w:tc></w:tr></w:tbl><w:sectPr><w:pgSz w:orient="portrait" w:w="11905.511811023622" w:h="16837.79527559055"/><w:pgMar w:top="720" w:right="720" w:bottom="720" w:left="72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1661187" TargetMode="External"/><Relationship Id="rId8" Type="http://schemas.openxmlformats.org/officeDocument/2006/relationships/hyperlink" Target="/cgi-bin/browse-edgar?action=getcompany&amp;CIK=0001661181" TargetMode="External"/><Relationship Id="rId9" Type="http://schemas.openxmlformats.org/officeDocument/2006/relationships/hyperlink" Target="/cgi-bin/browse-edgar?action=getcompany&amp;CIK=0001686388" TargetMode="External"/><Relationship Id="rId10" Type="http://schemas.openxmlformats.org/officeDocument/2006/relationships/hyperlink" Target="/cgi-bin/browse-edgar?action=getcompany&amp;CIK=0001374179" TargetMode="External"/><Relationship Id="rId11" Type="http://schemas.openxmlformats.org/officeDocument/2006/relationships/hyperlink" Target="/cgi-bin/browse-edgar?action=getcompany&amp;CIK=000106909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2026-08-08T03:40:30-04:00</dcterms:created>
  <dcterms:modified xsi:type="dcterms:W3CDTF">2026-08-08T03:40:30-04:00</dcterms:modified>
</cp:coreProperties>
</file>

<file path=docProps/custom.xml><?xml version="1.0" encoding="utf-8"?>
<Properties xmlns="http://schemas.openxmlformats.org/officeDocument/2006/custom-properties" xmlns:vt="http://schemas.openxmlformats.org/officeDocument/2006/docPropsVTypes"/>
</file>