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Avista Healthcare Public Acquisition Corp.</w:t>
              </w:r>
            </w:hyperlink>
            <w:r>
              <w:rPr/>
              <w:t xml:space="preserve">     [ </w:t>
            </w:r>
            <w:r>
              <w:rPr/>
              <w:t xml:space="preserve">AHPA</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11/25/2016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1800" w:type="dxa"/>
        <w:gridCol w:w="300" w:type="dxa"/>
        <w:gridCol w:w="250" w:type="dxa"/>
        <w:gridCol w:w="350" w:type="dxa"/>
        <w:gridCol w:w="950" w:type="dxa"/>
        <w:gridCol w:w="550" w:type="dxa"/>
        <w:gridCol w:w="450" w:type="dxa"/>
        <w:gridCol w:w="4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Class B Ordinary Shares</w:t>
            </w:r>
          </w:p>
        </w:tc>
        <w:tc>
          <w:tcPr>
            <w:tcW w:w="5000" w:type="pct"/>
            <w:noWrap/>
          </w:tcPr>
          <w:p>
            <w:pPr>
              <w:jc w:val="center"/>
            </w:pPr>
            <w:r>
              <w:rPr>
                <w:vertAlign w:val="superscript"/>
              </w:rPr>
              <w:t xml:space="preserve">(1)</w:t>
            </w:r>
          </w:p>
        </w:tc>
        <w:tc>
          <w:tcPr>
            <w:tcW w:w="5000" w:type="pct"/>
            <w:noWrap/>
          </w:tcPr>
          <w:p>
            <w:pPr>
              <w:jc w:val="center"/>
            </w:pPr>
            <w:r>
              <w:rPr/>
              <w:t xml:space="preserve">11/25/2016</w:t>
            </w:r>
          </w:p>
        </w:tc>
        <w:tc>
          <w:tcPr>
            <w:tcW w:w="5000" w:type="pct"/>
            <w:noWrap/>
          </w:tcPr>
          <w:p>
            <w:pPr>
              <w:jc w:val="center"/>
            </w:pPr>
          </w:p>
        </w:tc>
        <w:tc>
          <w:tcPr>
            <w:tcW w:w="5000" w:type="pct"/>
            <w:noWrap/>
          </w:tcPr>
          <w:p>
            <w:pPr>
              <w:jc w:val="center"/>
            </w:pPr>
            <w:r>
              <w:rPr/>
              <w:t xml:space="preserve">J</w:t>
            </w:r>
            <w:r>
              <w:rPr>
                <w:vertAlign w:val="superscript"/>
              </w:rPr>
              <w:t xml:space="preserve">(2)</w:t>
            </w:r>
          </w:p>
        </w:tc>
        <w:tc>
          <w:tcPr>
            <w:tcW w:w="5000" w:type="pct"/>
            <w:noWrap/>
          </w:tcPr>
          <w:p>
            <w:pPr>
              <w:jc w:val="center"/>
            </w:pPr>
          </w:p>
        </w:tc>
        <w:tc>
          <w:tcPr>
            <w:tcW w:w="5000" w:type="pct"/>
            <w:noWrap/>
          </w:tcPr>
          <w:p>
            <w:pPr>
              <w:jc w:val="center"/>
            </w:pPr>
          </w:p>
        </w:tc>
        <w:tc>
          <w:tcPr>
            <w:tcW w:w="5000" w:type="pct"/>
            <w:noWrap/>
          </w:tcPr>
          <w:p>
            <w:pPr>
              <w:jc w:val="center"/>
            </w:pPr>
            <w:r>
              <w:rPr/>
              <w:t xml:space="preserve">700,000</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Class A Ordinary Shares</w:t>
            </w:r>
          </w:p>
        </w:tc>
        <w:tc>
          <w:tcPr>
            <w:tcW w:w="5000" w:type="pct"/>
            <w:noWrap/>
          </w:tcPr>
          <w:p>
            <w:pPr>
              <w:jc w:val="center"/>
            </w:pPr>
            <w:r>
              <w:rPr/>
              <w:t xml:space="preserve">700,000</w:t>
            </w:r>
          </w:p>
        </w:tc>
        <w:tc>
          <w:tcPr>
            <w:tcW w:w="5000" w:type="pct"/>
            <w:noWrap/>
          </w:tcPr>
          <w:p>
            <w:pPr>
              <w:jc w:val="center"/>
            </w:pPr>
            <w:r>
              <w:rPr>
                <w:vertAlign w:val="superscript"/>
              </w:rPr>
              <w:t xml:space="preserve">(2)</w:t>
            </w:r>
          </w:p>
        </w:tc>
        <w:tc>
          <w:tcPr>
            <w:tcW w:w="5000" w:type="pct"/>
            <w:noWrap/>
          </w:tcPr>
          <w:p>
            <w:pPr>
              <w:jc w:val="center"/>
            </w:pPr>
            <w:r>
              <w:rPr/>
              <w:t xml:space="preserve">6,040,000</w:t>
            </w:r>
          </w:p>
        </w:tc>
        <w:tc>
          <w:tcPr>
            <w:tcW w:w="5000" w:type="pct"/>
            <w:noWrap/>
          </w:tcPr>
          <w:p>
            <w:pPr>
              <w:jc w:val="center"/>
            </w:pPr>
            <w:r>
              <w:rPr/>
              <w:t xml:space="preserve">D</w:t>
            </w:r>
            <w:r>
              <w:rPr>
                <w:vertAlign w:val="superscript"/>
              </w:rPr>
              <w:t xml:space="preserve">(3)</w:t>
            </w:r>
            <w:r>
              <w:rPr>
                <w:vertAlign w:val="superscript"/>
              </w:rPr>
              <w:t xml:space="preserve">(4)</w:t>
            </w:r>
            <w:r>
              <w:rPr>
                <w:vertAlign w:val="superscript"/>
              </w:rPr>
              <w:t xml:space="preserve">(5)</w:t>
            </w:r>
          </w:p>
        </w:tc>
        <w:tc>
          <w:tcPr>
            <w:tcW w:w="5000" w:type="pct"/>
            <w:noWrap/>
          </w:tcPr>
          <w:p>
            <w:pPr>
              <w:jc w:val="start"/>
            </w:pPr>
          </w:p>
        </w:tc>
      </w:tr>
      <w:tr>
        <w:trPr/>
        <w:tc>
          <w:tcPr>
            <w:tcW w:w="5000" w:type="pct"/>
            <w:noWrap/>
          </w:tcPr>
          <w:p>
            <w:pPr>
              <w:jc w:val="start"/>
            </w:pPr>
            <w:r>
              <w:rPr/>
              <w:t xml:space="preserve">Class B Ordinary Shares</w:t>
            </w:r>
          </w:p>
        </w:tc>
        <w:tc>
          <w:tcPr>
            <w:tcW w:w="5000" w:type="pct"/>
            <w:noWrap/>
          </w:tcPr>
          <w:p>
            <w:pPr>
              <w:jc w:val="center"/>
            </w:pPr>
            <w:r>
              <w:rPr>
                <w:vertAlign w:val="superscript"/>
              </w:rPr>
              <w:t xml:space="preserve">(1)</w:t>
            </w:r>
          </w:p>
        </w:tc>
        <w:tc>
          <w:tcPr>
            <w:tcW w:w="5000" w:type="pct"/>
            <w:noWrap/>
          </w:tcPr>
          <w:p>
            <w:pPr>
              <w:jc w:val="center"/>
            </w:pPr>
            <w:r>
              <w:rPr/>
              <w:t xml:space="preserve">11/28/2016</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p>
        </w:tc>
        <w:tc>
          <w:tcPr>
            <w:tcW w:w="5000" w:type="pct"/>
            <w:noWrap/>
          </w:tcPr>
          <w:p>
            <w:pPr>
              <w:jc w:val="center"/>
            </w:pPr>
            <w:r>
              <w:rPr/>
              <w:t xml:space="preserve">161,180</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Class A Ordinary Shares</w:t>
            </w:r>
          </w:p>
        </w:tc>
        <w:tc>
          <w:tcPr>
            <w:tcW w:w="5000" w:type="pct"/>
            <w:noWrap/>
          </w:tcPr>
          <w:p>
            <w:pPr>
              <w:jc w:val="center"/>
            </w:pPr>
            <w:r>
              <w:rPr/>
              <w:t xml:space="preserve">161,180</w:t>
            </w:r>
          </w:p>
        </w:tc>
        <w:tc>
          <w:tcPr>
            <w:tcW w:w="5000" w:type="pct"/>
            <w:noWrap/>
          </w:tcPr>
          <w:p>
            <w:pPr>
              <w:jc w:val="center"/>
            </w:pPr>
            <w:r>
              <w:rPr/>
              <w:t xml:space="preserve">$</w:t>
            </w:r>
            <w:r>
              <w:rPr/>
              <w:t xml:space="preserve">0.003</w:t>
            </w:r>
          </w:p>
        </w:tc>
        <w:tc>
          <w:tcPr>
            <w:tcW w:w="5000" w:type="pct"/>
            <w:noWrap/>
          </w:tcPr>
          <w:p>
            <w:pPr>
              <w:jc w:val="center"/>
            </w:pPr>
            <w:r>
              <w:rPr/>
              <w:t xml:space="preserve">5,878,820</w:t>
            </w:r>
          </w:p>
        </w:tc>
        <w:tc>
          <w:tcPr>
            <w:tcW w:w="5000" w:type="pct"/>
            <w:noWrap/>
          </w:tcPr>
          <w:p>
            <w:pPr>
              <w:jc w:val="center"/>
            </w:pPr>
            <w:r>
              <w:rPr/>
              <w:t xml:space="preserve">D</w:t>
            </w:r>
            <w:r>
              <w:rPr>
                <w:vertAlign w:val="superscript"/>
              </w:rPr>
              <w:t xml:space="preserve">(3)</w:t>
            </w:r>
            <w:r>
              <w:rPr>
                <w:vertAlign w:val="superscript"/>
              </w:rPr>
              <w:t xml:space="preserve">(4)</w:t>
            </w:r>
            <w:r>
              <w:rPr>
                <w:vertAlign w:val="superscript"/>
              </w:rPr>
              <w:t xml:space="preserve">(5)</w:t>
            </w:r>
          </w:p>
        </w:tc>
        <w:tc>
          <w:tcPr>
            <w:tcW w:w="5000" w:type="pct"/>
            <w:noWrap/>
          </w:tcPr>
          <w:p>
            <w:pPr>
              <w:jc w:val="start"/>
            </w:pP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Acquisition Corp.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Acquisition,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Executive Chairman</w:t>
                  </w: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Pursuant to the Amended and Restated Memorandum and Articles of Association (the "Articles") of the Issuer, the Class B ordinary shares, par value $0.0001 per share (the "Class B Shares") will automatically convert into Class A ordinary shares, par value $0.0001 per share, of the Issuer at the time of the Issuer's Business Combination, as defined in the Articles, on a one-for-one basis, subject to adjustment, and have no expiration date.</w:t>
            </w:r>
          </w:p>
        </w:tc>
      </w:tr>
      <w:tr>
        <w:trPr/>
        <w:tc>
          <w:tcPr>
            <w:tcW w:w="5000" w:type="pct"/>
            <w:noWrap/>
          </w:tcPr>
          <w:p>
            <w:pPr/>
            <w:r>
              <w:rPr/>
              <w:t xml:space="preserve">2. 700,000 shares of the Class B Shares were forfeited by Avista Acquisition Corp. (the "Sponsor") to the Issuer at no cost in connection with the underwriters' election not to exercise the remaining unused portion of the over-allotment option, as described in the Issuer's registration statement on Form S-1 (File No. 333-213465). Any indirect forfeitures by Thompson Dean and David Burgstahler (see footnote 3) are exempt transactions pursuant to Rule 16b-3(e) under the Exchange Act.</w:t>
            </w:r>
          </w:p>
        </w:tc>
      </w:tr>
      <w:tr>
        <w:trPr/>
        <w:tc>
          <w:tcPr>
            <w:tcW w:w="5000" w:type="pct"/>
            <w:noWrap/>
          </w:tcPr>
          <w:p>
            <w:pPr/>
            <w:r>
              <w:rPr/>
              <w:t xml:space="preserve">3. Directly owned by Sponsor. The sole shareholder of Sponsor is Avista Acquisition, LLC ("Avista Acquisition"). Thompson Dean and David Burgstahler are the managers of Avista Acquisition (and, together with Sponsor, Messrs. Dean and Burgstahler are the "Reporting Persons").</w:t>
            </w:r>
          </w:p>
        </w:tc>
      </w:tr>
      <w:tr>
        <w:trPr/>
        <w:tc>
          <w:tcPr>
            <w:tcW w:w="5000" w:type="pct"/>
            <w:noWrap/>
          </w:tcPr>
          <w:p>
            <w:pPr/>
            <w:r>
              <w:rPr/>
              <w:t xml:space="preserve">4.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
            </w:r>
          </w:p>
        </w:tc>
      </w:tr>
      <w:tr>
        <w:trPr/>
        <w:tc>
          <w:tcPr>
            <w:tcW w:w="5000" w:type="pct"/>
            <w:noWrap/>
          </w:tcPr>
          <w:p>
            <w:pPr/>
            <w:r>
              <w:rPr/>
              <w:t xml:space="preserve">5.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Exhibit 99.1 Joint Filer Information, incorporated herein by reference.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Benjamin Silbert, Attorney-in-Fact for Avista Acquisition Corp.</w:t>
            </w:r>
          </w:p>
        </w:tc>
        <w:tc>
          <w:tcPr>
            <w:tcW w:w="1000" w:type="pct"/>
            <w:noWrap/>
          </w:tcPr>
          <w:p>
            <w:pPr/>
            <w:r>
              <w:rPr>
                <w:u w:val="single"/>
              </w:rPr>
              <w:t xml:space="preserve">11/29/2016</w:t>
            </w:r>
          </w:p>
        </w:tc>
      </w:tr>
      <w:tr>
        <w:trPr/>
        <w:tc>
          <w:tcPr>
            <w:tcW w:w="3000" w:type="pct"/>
            <w:noWrap/>
          </w:tcPr>
          <w:p>
            <w:pPr/>
          </w:p>
        </w:tc>
        <w:tc>
          <w:tcPr>
            <w:tcW w:w="1000" w:type="pct"/>
            <w:noWrap/>
          </w:tcPr>
          <w:p>
            <w:pPr/>
            <w:r>
              <w:rPr>
                <w:u w:val="single"/>
              </w:rPr>
              <w:t xml:space="preserve">/s/ Benjamin Silbert, Attorney-in-Fact for Avista Acquisition, LLC.</w:t>
            </w:r>
          </w:p>
        </w:tc>
        <w:tc>
          <w:tcPr>
            <w:tcW w:w="1000" w:type="pct"/>
            <w:noWrap/>
          </w:tcPr>
          <w:p>
            <w:pPr/>
            <w:r>
              <w:rPr>
                <w:u w:val="single"/>
              </w:rPr>
              <w:t xml:space="preserve">11/29/2016</w:t>
            </w:r>
          </w:p>
        </w:tc>
      </w:tr>
      <w:tr>
        <w:trPr/>
        <w:tc>
          <w:tcPr>
            <w:tcW w:w="3000" w:type="pct"/>
            <w:noWrap/>
          </w:tcPr>
          <w:p>
            <w:pPr/>
          </w:p>
        </w:tc>
        <w:tc>
          <w:tcPr>
            <w:tcW w:w="1000" w:type="pct"/>
            <w:noWrap/>
          </w:tcPr>
          <w:p>
            <w:pPr/>
            <w:r>
              <w:rPr>
                <w:u w:val="single"/>
              </w:rPr>
              <w:t xml:space="preserve">/s/ Benjamin Silbert, Attorney-in-Fact for Thompson Dean</w:t>
            </w:r>
          </w:p>
        </w:tc>
        <w:tc>
          <w:tcPr>
            <w:tcW w:w="1000" w:type="pct"/>
            <w:noWrap/>
          </w:tcPr>
          <w:p>
            <w:pPr/>
            <w:r>
              <w:rPr>
                <w:u w:val="single"/>
              </w:rPr>
              <w:t xml:space="preserve">11/29/2016</w:t>
            </w:r>
          </w:p>
        </w:tc>
      </w:tr>
      <w:tr>
        <w:trPr/>
        <w:tc>
          <w:tcPr>
            <w:tcW w:w="3000" w:type="pct"/>
            <w:noWrap/>
          </w:tcPr>
          <w:p>
            <w:pPr/>
          </w:p>
        </w:tc>
        <w:tc>
          <w:tcPr>
            <w:tcW w:w="1000" w:type="pct"/>
            <w:noWrap/>
          </w:tcPr>
          <w:p>
            <w:pPr/>
            <w:r>
              <w:rPr>
                <w:u w:val="single"/>
              </w:rPr>
              <w:t xml:space="preserve">/s/ Benjamin Silbert, Attorney-in-Fact for David Burgstahler</w:t>
            </w:r>
          </w:p>
        </w:tc>
        <w:tc>
          <w:tcPr>
            <w:tcW w:w="1000" w:type="pct"/>
            <w:noWrap/>
          </w:tcPr>
          <w:p>
            <w:pPr/>
            <w:r>
              <w:rPr>
                <w:u w:val="single"/>
              </w:rPr>
              <w:t xml:space="preserve">11/29/2016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61187"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86388" TargetMode="External"/><Relationship Id="rId10" Type="http://schemas.openxmlformats.org/officeDocument/2006/relationships/hyperlink" Target="/cgi-bin/browse-edgar?action=getcompany&amp;CIK=0001069096" TargetMode="External"/><Relationship Id="rId11"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2026-08-08T03:41:07-04:00</dcterms:created>
  <dcterms:modified xsi:type="dcterms:W3CDTF">2026-08-08T03:41:07-04:00</dcterms:modified>
</cp:coreProperties>
</file>

<file path=docProps/custom.xml><?xml version="1.0" encoding="utf-8"?>
<Properties xmlns="http://schemas.openxmlformats.org/officeDocument/2006/custom-properties" xmlns:vt="http://schemas.openxmlformats.org/officeDocument/2006/docPropsVTypes"/>
</file>