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12/10/2018</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P</w:t>
            </w:r>
            <w:r>
              <w:rPr>
                <w:vertAlign w:val="superscript"/>
              </w:rPr>
              <w:t xml:space="preserve">(2)</w:t>
            </w:r>
          </w:p>
        </w:tc>
        <w:tc>
          <w:tcPr>
            <w:tcW w:w="5000" w:type="pct"/>
            <w:noWrap/>
          </w:tcPr>
          <w:p>
            <w:pPr>
              <w:jc w:val="center"/>
            </w:pPr>
          </w:p>
        </w:tc>
        <w:tc>
          <w:tcPr>
            <w:tcW w:w="5000" w:type="pct"/>
            <w:noWrap/>
          </w:tcPr>
          <w:p>
            <w:pPr>
              <w:jc w:val="center"/>
            </w:pPr>
            <w:r>
              <w:rPr/>
              <w:t xml:space="preserve">6,538,732</w:t>
            </w:r>
            <w:r>
              <w:rPr>
                <w:vertAlign w:val="superscript"/>
              </w:rPr>
              <w:t xml:space="preserve">(2)</w:t>
            </w:r>
          </w:p>
        </w:tc>
        <w:tc>
          <w:tcPr>
            <w:tcW w:w="5000" w:type="pct"/>
            <w:noWrap/>
          </w:tcPr>
          <w:p>
            <w:pPr>
              <w:jc w:val="center"/>
            </w:pPr>
            <w:r>
              <w:rPr/>
              <w:t xml:space="preserve">A</w:t>
            </w:r>
          </w:p>
        </w:tc>
        <w:tc>
          <w:tcPr>
            <w:tcW w:w="5000" w:type="pct"/>
            <w:noWrap/>
          </w:tcPr>
          <w:p>
            <w:pPr>
              <w:jc w:val="center"/>
            </w:pPr>
            <w:r>
              <w:rPr>
                <w:vertAlign w:val="superscript"/>
              </w:rPr>
              <w:t xml:space="preserve">(2)</w:t>
            </w:r>
          </w:p>
        </w:tc>
        <w:tc>
          <w:tcPr>
            <w:tcW w:w="5000" w:type="pct"/>
            <w:noWrap/>
          </w:tcPr>
          <w:p>
            <w:pPr>
              <w:jc w:val="center"/>
            </w:pPr>
            <w:r>
              <w:rPr/>
              <w:t xml:space="preserve">15,561,473</w:t>
            </w:r>
            <w:r>
              <w:rPr>
                <w:vertAlign w:val="superscript"/>
              </w:rPr>
              <w:t xml:space="preserve">(3)</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(4)</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Capital Partners (Offshore)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Capital Partners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Avista Capital Partners IV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statement is being filed by the following Reporting Persons: Avista Capital Partners IV, L.P. ("Fund IV"), Avista Capital Partners (Offshore) IV, L.P. ("Offshore Fund IV"), Avista Capital Partners IV GP, L.P. ("Fund IV GP"), which is the general partner of Fund IV and Offshore Fund IV; and Avista Capital Managing Member IV, LLC, which is the general partner of Fund IV GP.</w:t>
            </w:r>
          </w:p>
        </w:tc>
      </w:tr>
      <w:tr>
        <w:trPr/>
        <w:tc>
          <w:tcPr>
            <w:tcW w:w="5000" w:type="pct"/>
            <w:noWrap/>
          </w:tcPr>
          <w:p>
            <w:pPr/>
            <w:r>
              <w:rPr/>
              <w:t xml:space="preserve">2. Represents 3,278,154 shares of Class A common stock received by Fund IV and 3,260,578 shares of Class A common stock received by Offshore Fund IV, in each case, at an exchange ratio of 2.03 shares of the Issuer's Class A common stock for each share of common stock of Organogenesis Inc. in connection with the consummation of the business combination pursuant to that certain Agreement and Plan of Merger, dated as of August 17, 2018, by and among Avista Healthcare Public Acquisition Corp., Avista Healthcare Merger Sub, Inc. and Organogenesis Inc.</w:t>
            </w:r>
          </w:p>
        </w:tc>
      </w:tr>
      <w:tr>
        <w:trPr/>
        <w:tc>
          <w:tcPr>
            <w:tcW w:w="5000" w:type="pct"/>
            <w:noWrap/>
          </w:tcPr>
          <w:p>
            <w:pPr/>
            <w:r>
              <w:rPr/>
              <w:t xml:space="preserve">3.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w:t>
            </w:r>
          </w:p>
        </w:tc>
      </w:tr>
      <w:tr>
        <w:trPr/>
        <w:tc>
          <w:tcPr>
            <w:tcW w:w="5000" w:type="pct"/>
            <w:noWrap/>
          </w:tcPr>
          <w:p>
            <w:pPr/>
            <w:r>
              <w:rPr/>
              <w:t xml:space="preserve">4.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Avista Healthcare Public Acquisition Corp. changed its name to Organogenesis Holdings Inc. in connection with the consummation of a business combination.Exhibit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See Exhibit 99.1 for Signatures</w:t>
            </w:r>
          </w:p>
        </w:tc>
        <w:tc>
          <w:tcPr>
            <w:tcW w:w="1000" w:type="pct"/>
            <w:noWrap/>
          </w:tcPr>
          <w:p>
            <w:pPr/>
            <w:r>
              <w:rPr>
                <w:u w:val="single"/>
              </w:rPr>
              <w:t xml:space="preserve">12/12/2018</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117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64173" TargetMode="External"/><Relationship Id="rId10" Type="http://schemas.openxmlformats.org/officeDocument/2006/relationships/hyperlink" Target="/cgi-bin/browse-edgar?action=getcompany&amp;CIK=0001664176" TargetMode="External"/><Relationship Id="rId11" Type="http://schemas.openxmlformats.org/officeDocument/2006/relationships/hyperlink" Target="/cgi-bin/browse-edgar?action=getcompany&amp;CIK=00017611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2026-08-08T03:40:11-04:00</dcterms:created>
  <dcterms:modified xsi:type="dcterms:W3CDTF">2026-08-08T03:40:11-04:00</dcterms:modified>
</cp:coreProperties>
</file>

<file path=docProps/custom.xml><?xml version="1.0" encoding="utf-8"?>
<Properties xmlns="http://schemas.openxmlformats.org/officeDocument/2006/custom-properties" xmlns:vt="http://schemas.openxmlformats.org/officeDocument/2006/docPropsVTypes"/>
</file>