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J</w:t>
            </w:r>
            <w:r>
              <w:rPr>
                <w:vertAlign w:val="superscript"/>
              </w:rPr>
              <w:t xml:space="preserve">(2)</w:t>
            </w:r>
          </w:p>
        </w:tc>
        <w:tc>
          <w:tcPr>
            <w:tcW w:w="5000" w:type="pct"/>
            <w:noWrap/>
          </w:tcPr>
          <w:p>
            <w:pPr>
              <w:jc w:val="center"/>
            </w:pPr>
          </w:p>
        </w:tc>
        <w:tc>
          <w:tcPr>
            <w:tcW w:w="5000" w:type="pct"/>
            <w:noWrap/>
          </w:tcPr>
          <w:p>
            <w:pPr>
              <w:jc w:val="center"/>
            </w:pPr>
          </w:p>
        </w:tc>
        <w:tc>
          <w:tcPr>
            <w:tcW w:w="5000" w:type="pct"/>
            <w:noWrap/>
          </w:tcPr>
          <w:p>
            <w:pPr>
              <w:jc w:val="center"/>
            </w:pPr>
            <w:r>
              <w:rPr/>
              <w:t xml:space="preserve">3,247,668</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3,247,668</w:t>
            </w:r>
          </w:p>
        </w:tc>
        <w:tc>
          <w:tcPr>
            <w:tcW w:w="5000" w:type="pct"/>
            <w:noWrap/>
          </w:tcPr>
          <w:p>
            <w:pPr>
              <w:jc w:val="center"/>
            </w:pPr>
            <w:r>
              <w:rPr>
                <w:vertAlign w:val="superscript"/>
              </w:rPr>
              <w:t xml:space="preserve">(2)</w:t>
            </w:r>
          </w:p>
        </w:tc>
        <w:tc>
          <w:tcPr>
            <w:tcW w:w="5000" w:type="pct"/>
            <w:noWrap/>
          </w:tcPr>
          <w:p>
            <w:pPr>
              <w:jc w:val="center"/>
            </w:pPr>
            <w:r>
              <w:rPr/>
              <w:t xml:space="preserve">1,048,691</w:t>
            </w:r>
          </w:p>
        </w:tc>
        <w:tc>
          <w:tcPr>
            <w:tcW w:w="5000" w:type="pct"/>
            <w:noWrap/>
          </w:tcPr>
          <w:p>
            <w:pPr>
              <w:jc w:val="center"/>
            </w:pPr>
            <w:r>
              <w:rPr/>
              <w:t xml:space="preserve">D</w:t>
            </w:r>
            <w:r>
              <w:rPr>
                <w:vertAlign w:val="superscript"/>
              </w:rPr>
              <w:t xml:space="preserve">(3)</w:t>
            </w:r>
            <w:r>
              <w:rPr>
                <w:vertAlign w:val="superscript"/>
              </w:rPr>
              <w:t xml:space="preserve">(4)</w:t>
            </w:r>
            <w:r>
              <w:rPr>
                <w:vertAlign w:val="superscript"/>
              </w:rPr>
              <w:t xml:space="preserve">(5)</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Pursuant to the Amended and Restated Memorandum and Articles of Association (the "Articles") of Avista Healthcare Public Acquisition Corp.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
            </w:r>
          </w:p>
        </w:tc>
      </w:tr>
      <w:tr>
        <w:trPr/>
        <w:tc>
          <w:tcPr>
            <w:tcW w:w="5000" w:type="pct"/>
            <w:noWrap/>
          </w:tcPr>
          <w:p>
            <w:pPr/>
            <w:r>
              <w:rPr/>
              <w:t xml:space="preserve">2. The 3,247,668 Class B ordinary shares were forfeited by Avista Acquisition Corp. (the "Sponsor") to the Issuer for no consideration prior to the closing of the Business Combination.</w:t>
            </w:r>
          </w:p>
        </w:tc>
      </w:tr>
      <w:tr>
        <w:trPr/>
        <w:tc>
          <w:tcPr>
            <w:tcW w:w="5000" w:type="pct"/>
            <w:noWrap/>
          </w:tcPr>
          <w:p>
            <w:pPr/>
            <w:r>
              <w:rPr/>
              <w:t xml:space="preserve">3. Directly owned by Sponsor. The sole shareholder of Sponsor is Avista Acquisition, LLC ("Avista Acquisition" and, together with Sponsor, the "Reporting Persons").</w:t>
            </w:r>
          </w:p>
        </w:tc>
      </w:tr>
      <w:tr>
        <w:trPr/>
        <w:tc>
          <w:tcPr>
            <w:tcW w:w="5000" w:type="pct"/>
            <w:noWrap/>
          </w:tcPr>
          <w:p>
            <w:pPr/>
            <w:r>
              <w:rPr/>
              <w:t xml:space="preserve">4.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5.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 In connection with the closing of the Business Combination, the Issuer's name was changed to Organogenesis Holdings Inc.</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By: /s/ Benjamin Silbert, Attorney-in-Fact for Avista Acquisition Corp</w:t>
            </w:r>
          </w:p>
        </w:tc>
        <w:tc>
          <w:tcPr>
            <w:tcW w:w="1000" w:type="pct"/>
            <w:noWrap/>
          </w:tcPr>
          <w:p>
            <w:pPr/>
            <w:r>
              <w:rPr>
                <w:u w:val="single"/>
              </w:rPr>
              <w:t xml:space="preserve">12/12/2018</w:t>
            </w:r>
          </w:p>
        </w:tc>
      </w:tr>
      <w:tr>
        <w:trPr/>
        <w:tc>
          <w:tcPr>
            <w:tcW w:w="3000" w:type="pct"/>
            <w:noWrap/>
          </w:tcPr>
          <w:p>
            <w:pPr/>
          </w:p>
        </w:tc>
        <w:tc>
          <w:tcPr>
            <w:tcW w:w="1000" w:type="pct"/>
            <w:noWrap/>
          </w:tcPr>
          <w:p>
            <w:pPr/>
            <w:r>
              <w:rPr>
                <w:u w:val="single"/>
              </w:rPr>
              <w:t xml:space="preserve">By: /s/ Benjamin Silbert, Attorney-in-Fact for Avista Acquisition, LLC</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2026-08-08T03:40:10-04:00</dcterms:created>
  <dcterms:modified xsi:type="dcterms:W3CDTF">2026-08-08T03:40:10-04:00</dcterms:modified>
</cp:coreProperties>
</file>

<file path=docProps/custom.xml><?xml version="1.0" encoding="utf-8"?>
<Properties xmlns="http://schemas.openxmlformats.org/officeDocument/2006/custom-properties" xmlns:vt="http://schemas.openxmlformats.org/officeDocument/2006/docPropsVTypes"/>
</file>