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IV,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09/03/2019</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09/03/2019</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200,000</w:t>
            </w:r>
            <w:r>
              <w:rPr>
                <w:vertAlign w:val="superscript"/>
              </w:rPr>
              <w:t xml:space="preserve">(2)</w:t>
            </w:r>
            <w:r>
              <w:rPr>
                <w:vertAlign w:val="superscript"/>
              </w:rPr>
              <w:t xml:space="preserve">(3)</w:t>
            </w:r>
          </w:p>
        </w:tc>
        <w:tc>
          <w:tcPr>
            <w:tcW w:w="5000" w:type="pct"/>
            <w:noWrap/>
          </w:tcPr>
          <w:p>
            <w:pPr>
              <w:jc w:val="center"/>
            </w:pPr>
            <w:r>
              <w:rPr/>
              <w:t xml:space="preserve">A</w:t>
            </w:r>
          </w:p>
        </w:tc>
        <w:tc>
          <w:tcPr>
            <w:tcW w:w="5000" w:type="pct"/>
            <w:noWrap/>
          </w:tcPr>
          <w:p>
            <w:pPr>
              <w:jc w:val="center"/>
            </w:pPr>
            <w:r>
              <w:rPr/>
              <w:t xml:space="preserve">$</w:t>
            </w:r>
            <w:r>
              <w:rPr/>
              <w:t xml:space="preserve">4.7488</w:t>
            </w:r>
            <w:r>
              <w:rPr>
                <w:vertAlign w:val="superscript"/>
              </w:rPr>
              <w:t xml:space="preserve">(2)</w:t>
            </w:r>
            <w:r>
              <w:rPr>
                <w:vertAlign w:val="superscript"/>
              </w:rPr>
              <w:t xml:space="preserve">(4)</w:t>
            </w:r>
          </w:p>
        </w:tc>
        <w:tc>
          <w:tcPr>
            <w:tcW w:w="5000" w:type="pct"/>
            <w:noWrap/>
          </w:tcPr>
          <w:p>
            <w:pPr>
              <w:jc w:val="center"/>
            </w:pPr>
            <w:r>
              <w:rPr/>
              <w:t xml:space="preserve">17,199,665</w:t>
            </w:r>
            <w:r>
              <w:rPr>
                <w:vertAlign w:val="superscript"/>
              </w:rPr>
              <w:t xml:space="preserve">(5)</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(12)</w:t>
            </w:r>
            <w:r>
              <w:rPr>
                <w:vertAlign w:val="superscript"/>
              </w:rPr>
              <w:t xml:space="preserve">(13)</w:t>
            </w:r>
          </w:p>
        </w:tc>
      </w:tr>
      <w:tr>
        <w:trPr/>
        <w:tc>
          <w:tcPr>
            <w:tcW w:w="5000" w:type="pct"/>
            <w:noWrap/>
          </w:tcPr>
          <w:p>
            <w:pPr>
              <w:jc w:val="start"/>
            </w:pPr>
            <w:r>
              <w:rPr/>
              <w:t xml:space="preserve">Class A common stock</w:t>
            </w:r>
          </w:p>
        </w:tc>
        <w:tc>
          <w:tcPr>
            <w:tcW w:w="5000" w:type="pct"/>
            <w:noWrap/>
          </w:tcPr>
          <w:p>
            <w:pPr>
              <w:jc w:val="center"/>
            </w:pPr>
            <w:r>
              <w:rPr/>
              <w:t xml:space="preserve">09/04/2019</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200,000</w:t>
            </w:r>
            <w:r>
              <w:rPr>
                <w:vertAlign w:val="superscript"/>
              </w:rPr>
              <w:t xml:space="preserve">(2)</w:t>
            </w:r>
            <w:r>
              <w:rPr>
                <w:vertAlign w:val="superscript"/>
              </w:rPr>
              <w:t xml:space="preserve">(6)</w:t>
            </w:r>
          </w:p>
        </w:tc>
        <w:tc>
          <w:tcPr>
            <w:tcW w:w="5000" w:type="pct"/>
            <w:noWrap/>
          </w:tcPr>
          <w:p>
            <w:pPr>
              <w:jc w:val="center"/>
            </w:pPr>
            <w:r>
              <w:rPr/>
              <w:t xml:space="preserve">A</w:t>
            </w:r>
          </w:p>
        </w:tc>
        <w:tc>
          <w:tcPr>
            <w:tcW w:w="5000" w:type="pct"/>
            <w:noWrap/>
          </w:tcPr>
          <w:p>
            <w:pPr>
              <w:jc w:val="center"/>
            </w:pPr>
            <w:r>
              <w:rPr/>
              <w:t xml:space="preserve">$</w:t>
            </w:r>
            <w:r>
              <w:rPr/>
              <w:t xml:space="preserve">4.8961</w:t>
            </w:r>
            <w:r>
              <w:rPr>
                <w:vertAlign w:val="superscript"/>
              </w:rPr>
              <w:t xml:space="preserve">(2)</w:t>
            </w:r>
            <w:r>
              <w:rPr>
                <w:vertAlign w:val="superscript"/>
              </w:rPr>
              <w:t xml:space="preserve">(7)</w:t>
            </w:r>
          </w:p>
        </w:tc>
        <w:tc>
          <w:tcPr>
            <w:tcW w:w="5000" w:type="pct"/>
            <w:noWrap/>
          </w:tcPr>
          <w:p>
            <w:pPr>
              <w:jc w:val="center"/>
            </w:pPr>
            <w:r>
              <w:rPr/>
              <w:t xml:space="preserve">17,399,665</w:t>
            </w:r>
            <w:r>
              <w:rPr>
                <w:vertAlign w:val="superscript"/>
              </w:rPr>
              <w:t xml:space="preserve">(8)</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(12)</w:t>
            </w:r>
            <w:r>
              <w:rPr>
                <w:vertAlign w:val="superscript"/>
              </w:rPr>
              <w:t xml:space="preserve">(13)</w:t>
            </w:r>
          </w:p>
        </w:tc>
      </w:tr>
      <w:tr>
        <w:trPr/>
        <w:tc>
          <w:tcPr>
            <w:tcW w:w="5000" w:type="pct"/>
            <w:noWrap/>
          </w:tcPr>
          <w:p>
            <w:pPr>
              <w:jc w:val="start"/>
            </w:pPr>
            <w:r>
              <w:rPr/>
              <w:t xml:space="preserve">Class A common stock</w:t>
            </w:r>
          </w:p>
        </w:tc>
        <w:tc>
          <w:tcPr>
            <w:tcW w:w="5000" w:type="pct"/>
            <w:noWrap/>
          </w:tcPr>
          <w:p>
            <w:pPr>
              <w:jc w:val="center"/>
            </w:pPr>
            <w:r>
              <w:rPr/>
              <w:t xml:space="preserve">09/05/2019</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177,600</w:t>
            </w:r>
            <w:r>
              <w:rPr>
                <w:vertAlign w:val="superscript"/>
              </w:rPr>
              <w:t xml:space="preserve">(2)</w:t>
            </w:r>
            <w:r>
              <w:rPr>
                <w:vertAlign w:val="superscript"/>
              </w:rPr>
              <w:t xml:space="preserve">(9)</w:t>
            </w:r>
          </w:p>
        </w:tc>
        <w:tc>
          <w:tcPr>
            <w:tcW w:w="5000" w:type="pct"/>
            <w:noWrap/>
          </w:tcPr>
          <w:p>
            <w:pPr>
              <w:jc w:val="center"/>
            </w:pPr>
            <w:r>
              <w:rPr/>
              <w:t xml:space="preserve">A</w:t>
            </w:r>
          </w:p>
        </w:tc>
        <w:tc>
          <w:tcPr>
            <w:tcW w:w="5000" w:type="pct"/>
            <w:noWrap/>
          </w:tcPr>
          <w:p>
            <w:pPr>
              <w:jc w:val="center"/>
            </w:pPr>
            <w:r>
              <w:rPr/>
              <w:t xml:space="preserve">$</w:t>
            </w:r>
            <w:r>
              <w:rPr/>
              <w:t xml:space="preserve">4.8906</w:t>
            </w:r>
            <w:r>
              <w:rPr>
                <w:vertAlign w:val="superscript"/>
              </w:rPr>
              <w:t xml:space="preserve">(2)</w:t>
            </w:r>
            <w:r>
              <w:rPr>
                <w:vertAlign w:val="superscript"/>
              </w:rPr>
              <w:t xml:space="preserve">(10)</w:t>
            </w:r>
          </w:p>
        </w:tc>
        <w:tc>
          <w:tcPr>
            <w:tcW w:w="5000" w:type="pct"/>
            <w:noWrap/>
          </w:tcPr>
          <w:p>
            <w:pPr>
              <w:jc w:val="center"/>
            </w:pPr>
            <w:r>
              <w:rPr/>
              <w:t xml:space="preserve">17,577,265</w:t>
            </w:r>
            <w:r>
              <w:rPr>
                <w:vertAlign w:val="superscript"/>
              </w:rPr>
              <w:t xml:space="preserve">(11)</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(12)</w:t>
            </w:r>
            <w:r>
              <w:rPr>
                <w:vertAlign w:val="superscript"/>
              </w:rPr>
              <w:t xml:space="preserve">(13)</w:t>
            </w: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IV,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Avista Acquisition Corp.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65 EAST 55TH STREET</w:t>
                  </w:r>
                </w:p>
              </w:tc>
            </w:tr>
            <w:tr>
              <w:trPr/>
              <w:tc>
                <w:tcPr>
                  <w:tcW w:w="5000" w:type="pct"/>
                  <w:vAlign w:val="top"/>
                  <w:noWrap/>
                </w:tcPr>
                <w:p>
                  <w:pPr/>
                  <w:r>
                    <w:rPr/>
                    <w:t xml:space="preserve">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Avista Acquisition,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65 EAST 55TH STREET</w:t>
                  </w:r>
                </w:p>
              </w:tc>
            </w:tr>
            <w:tr>
              <w:trPr/>
              <w:tc>
                <w:tcPr>
                  <w:tcW w:w="5000" w:type="pct"/>
                  <w:vAlign w:val="top"/>
                  <w:noWrap/>
                </w:tcPr>
                <w:p>
                  <w:pPr/>
                  <w:r>
                    <w:rPr/>
                    <w:t xml:space="preserve">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Avista Capital Partners IV,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Avista Capital Partners (Offshore) IV,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Avista Capital Partners IV GP,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4" w:history="1">
                    <w:r>
                      <w:rPr/>
                      <w:t xml:space="preserve">Dean Thompson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5" w:history="1">
                    <w:r>
                      <w:rPr/>
                      <w:t xml:space="preserve">Burgstahler David F</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This statement is being filed by the following Reporting Persons: Avista Acquisition Corp. (the "Sponsor"); Avista Acquisition LLC, which is the sole shareholder of the Sponsor; Avista Capital Partners IV, L.P. ("ACP Onshore"); Avista Capital Partners (Offshore) IV, L.P. ("ACP Offshore"); Avista Capital Partners IV GP, L.P. ("Avista GP"), which is the general partner of ACP Onshore and ACP Offshore; Avista Capital Managing Member IV, LLC, which is the general partner of Avista GP; Thompson Dean; and David Burgstahler.</w:t>
            </w:r>
          </w:p>
        </w:tc>
      </w:tr>
      <w:tr>
        <w:trPr/>
        <w:tc>
          <w:tcPr>
            <w:tcW w:w="5000" w:type="pct"/>
            <w:noWrap/>
          </w:tcPr>
          <w:p>
            <w:pPr/>
            <w:r>
              <w:rPr/>
              <w:t xml:space="preserve">2. The number of securities reported represents an aggregate number of shares of Class A common stock of the Issuer ("Common Stock") purchased in multiple market transactions over a range of purchase prices. The price reported represents the weighted average price per share. Each Reporting Person undertakes to provide the staff of the SEC, the Issuer, or a stockholder of the Issuer, upon request, the number of shares of Common Stock purchased by the Reporting Person at each separate price within the range.</w:t>
            </w:r>
          </w:p>
        </w:tc>
      </w:tr>
      <w:tr>
        <w:trPr/>
        <w:tc>
          <w:tcPr>
            <w:tcW w:w="5000" w:type="pct"/>
            <w:noWrap/>
          </w:tcPr>
          <w:p>
            <w:pPr/>
            <w:r>
              <w:rPr/>
              <w:t xml:space="preserve">3. Represents an aggregate of 100,269 shares of Common Stock purchased by ACP Onshore and 99,731 shares of Common Stock purchased by ACP Offshore.</w:t>
            </w:r>
          </w:p>
        </w:tc>
      </w:tr>
      <w:tr>
        <w:trPr/>
        <w:tc>
          <w:tcPr>
            <w:tcW w:w="5000" w:type="pct"/>
            <w:noWrap/>
          </w:tcPr>
          <w:p>
            <w:pPr/>
            <w:r>
              <w:rPr/>
              <w:t xml:space="preserve">4. Purchase prices range from $4.44 to $4.75 per share, inclusive.</w:t>
            </w:r>
          </w:p>
        </w:tc>
      </w:tr>
      <w:tr>
        <w:trPr/>
        <w:tc>
          <w:tcPr>
            <w:tcW w:w="5000" w:type="pct"/>
            <w:noWrap/>
          </w:tcPr>
          <w:p>
            <w:pPr/>
            <w:r>
              <w:rPr/>
              <w:t xml:space="preserve">5. Represents 8,097,194 shares of Common Stock owned directly by ACP Onshore, 8,053,780 shares of Common Stock owned directly by ACP Offshore, and 1,048,691 shares of Common Stock owned directly by the Sponsor.</w:t>
            </w:r>
          </w:p>
        </w:tc>
      </w:tr>
      <w:tr>
        <w:trPr/>
        <w:tc>
          <w:tcPr>
            <w:tcW w:w="5000" w:type="pct"/>
            <w:noWrap/>
          </w:tcPr>
          <w:p>
            <w:pPr/>
            <w:r>
              <w:rPr/>
              <w:t xml:space="preserve">6. Represents an aggregate of 100,269 shares of Common Stock purchased by ACP Onshore and 99,731 shares of Common Stock purchased by ACP Offshore.</w:t>
            </w:r>
          </w:p>
        </w:tc>
      </w:tr>
      <w:tr>
        <w:trPr/>
        <w:tc>
          <w:tcPr>
            <w:tcW w:w="5000" w:type="pct"/>
            <w:noWrap/>
          </w:tcPr>
          <w:p>
            <w:pPr/>
            <w:r>
              <w:rPr/>
              <w:t xml:space="preserve">7. Purchase prices range from $4.70 to $4.90 per share, inclusive.</w:t>
            </w:r>
          </w:p>
        </w:tc>
      </w:tr>
      <w:tr>
        <w:trPr/>
        <w:tc>
          <w:tcPr>
            <w:tcW w:w="5000" w:type="pct"/>
            <w:noWrap/>
          </w:tcPr>
          <w:p>
            <w:pPr/>
            <w:r>
              <w:rPr/>
              <w:t xml:space="preserve">8. Represents 8,197,463 shares of Common Stock owned directly by ACP Onshore, 8,153,511 shares of Common Stock owned directly by ACP Offshore, and 1,048,691 shares of Common Stock owned directly by the Sponsor.</w:t>
            </w:r>
          </w:p>
        </w:tc>
      </w:tr>
      <w:tr>
        <w:trPr/>
        <w:tc>
          <w:tcPr>
            <w:tcW w:w="5000" w:type="pct"/>
            <w:noWrap/>
          </w:tcPr>
          <w:p>
            <w:pPr/>
            <w:r>
              <w:rPr/>
              <w:t xml:space="preserve">9. Represents an aggregate of 89,039 shares of Common Stock purchased by ACP Onshore and 88,561 shares of Common Stock purchased by ACP Offshore.</w:t>
            </w:r>
          </w:p>
        </w:tc>
      </w:tr>
      <w:tr>
        <w:trPr/>
        <w:tc>
          <w:tcPr>
            <w:tcW w:w="5000" w:type="pct"/>
            <w:noWrap/>
          </w:tcPr>
          <w:p>
            <w:pPr/>
            <w:r>
              <w:rPr/>
              <w:t xml:space="preserve">10. Purchase prices range from $4.52 to $4.90 per share, inclusive.</w:t>
            </w:r>
          </w:p>
        </w:tc>
      </w:tr>
      <w:tr>
        <w:trPr/>
        <w:tc>
          <w:tcPr>
            <w:tcW w:w="5000" w:type="pct"/>
            <w:noWrap/>
          </w:tcPr>
          <w:p>
            <w:pPr/>
            <w:r>
              <w:rPr/>
              <w:t xml:space="preserve">11. Represents 8,286,502 shares of Common Stock owned directly by ACP Onshore, 8,242,072 shares of Common Stock owned directly by ACP Offshore, and 1,048,691 shares of Common Stock owned directly by the Sponsor.</w:t>
            </w:r>
          </w:p>
        </w:tc>
      </w:tr>
      <w:tr>
        <w:trPr/>
        <w:tc>
          <w:tcPr>
            <w:tcW w:w="5000" w:type="pct"/>
            <w:noWrap/>
          </w:tcPr>
          <w:p>
            <w:pPr/>
            <w:r>
              <w:rPr/>
              <w:t xml:space="preserve">12. Because of the relationship among the Reporting Persons, the Reporting Persons may be deemed to beneficially own the securities reported herein to the extent of their respective pecuniary interests. Each Reporting Person disclaims beneficial ownership of the securities reported herein, except to the extent of such Reporting Person's pecuniary interest therein, if any. Joshua Tamaroff, an employee of an affiliate of the Reporting Persons, serves on the board of directors of the Issuer as a representative of the Reporting Persons.</w:t>
            </w:r>
          </w:p>
        </w:tc>
      </w:tr>
      <w:tr>
        <w:trPr/>
        <w:tc>
          <w:tcPr>
            <w:tcW w:w="5000" w:type="pct"/>
            <w:noWrap/>
          </w:tcPr>
          <w:p>
            <w:pPr/>
            <w:r>
              <w:rPr/>
              <w:t xml:space="preserve">13. Pursuant to Rule 16a-1(a)(4) under the Exchange Act, this filing shall not be deemed an admission that the Reporting Persons are, for purposes of Section 16 of the Exchange Act or otherwise, the beneficial owners of any equity securities in excess of their respective pecuniary interests.</w:t>
            </w:r>
          </w:p>
        </w:tc>
      </w:tr>
      <w:tr>
        <w:trPr/>
        <w:tc>
          <w:tcPr>
            <w:tcW w:w="5000" w:type="pct"/>
            <w:noWrap/>
          </w:tcPr>
          <w:p>
            <w:pPr/>
            <w:r>
              <w:rPr>
                <w:b w:val="1"/>
                <w:bCs w:val="1"/>
              </w:rPr>
              <w:t xml:space="preserve">Remarks:</w:t>
            </w:r>
          </w:p>
        </w:tc>
      </w:tr>
      <w:tr>
        <w:trPr/>
        <w:tc>
          <w:tcPr>
            <w:tcW w:w="5000" w:type="pct"/>
            <w:noWrap/>
          </w:tcPr>
          <w:p>
            <w:pPr/>
            <w:r>
              <w:rPr/>
              <w:t xml:space="preserve">Exhibit 99.1 Joint Filer Information, incorporated herein by reference.</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See Exhibit 99.1 for Signatures incorporated herein by reference</w:t>
            </w:r>
          </w:p>
        </w:tc>
        <w:tc>
          <w:tcPr>
            <w:tcW w:w="1000" w:type="pct"/>
            <w:noWrap/>
          </w:tcPr>
          <w:p>
            <w:pPr/>
            <w:r>
              <w:rPr>
                <w:u w:val="single"/>
              </w:rPr>
              <w:t xml:space="preserve">09/05/2019</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61175"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661187" TargetMode="External"/><Relationship Id="rId10" Type="http://schemas.openxmlformats.org/officeDocument/2006/relationships/hyperlink" Target="/cgi-bin/browse-edgar?action=getcompany&amp;CIK=0001686388" TargetMode="External"/><Relationship Id="rId11" Type="http://schemas.openxmlformats.org/officeDocument/2006/relationships/hyperlink" Target="/cgi-bin/browse-edgar?action=getcompany&amp;CIK=0001664176" TargetMode="External"/><Relationship Id="rId12" Type="http://schemas.openxmlformats.org/officeDocument/2006/relationships/hyperlink" Target="/cgi-bin/browse-edgar?action=getcompany&amp;CIK=0001664173" TargetMode="External"/><Relationship Id="rId13" Type="http://schemas.openxmlformats.org/officeDocument/2006/relationships/hyperlink" Target="/cgi-bin/browse-edgar?action=getcompany&amp;CIK=0001761195" TargetMode="External"/><Relationship Id="rId14" Type="http://schemas.openxmlformats.org/officeDocument/2006/relationships/hyperlink" Target="/cgi-bin/browse-edgar?action=getcompany&amp;CIK=0001069096" TargetMode="External"/><Relationship Id="rId15" Type="http://schemas.openxmlformats.org/officeDocument/2006/relationships/hyperlink" Target="/cgi-bin/browse-edgar?action=getcompany&amp;CIK=0001374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2026-08-07T12:19:41-04:00</dcterms:created>
  <dcterms:modified xsi:type="dcterms:W3CDTF">2026-08-07T12:19:41-04:00</dcterms:modified>
</cp:coreProperties>
</file>

<file path=docProps/custom.xml><?xml version="1.0" encoding="utf-8"?>
<Properties xmlns="http://schemas.openxmlformats.org/officeDocument/2006/custom-properties" xmlns:vt="http://schemas.openxmlformats.org/officeDocument/2006/docPropsVTypes"/>
</file>