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09/11/2019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09/11/2019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447,000</w:t>
            </w:r>
            <w:r>
              <w:rPr>
                <w:vertAlign w:val="superscript"/>
              </w:rPr>
              <w:t xml:space="preserve">(2)</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5.7504</w:t>
            </w:r>
            <w:r>
              <w:rPr>
                <w:vertAlign w:val="superscript"/>
              </w:rPr>
              <w:t xml:space="preserve">(2)</w:t>
            </w:r>
            <w:r>
              <w:rPr>
                <w:vertAlign w:val="superscript"/>
              </w:rPr>
              <w:t xml:space="preserve">(4)</w:t>
            </w:r>
          </w:p>
        </w:tc>
        <w:tc>
          <w:tcPr>
            <w:tcW w:w="5000" w:type="pct"/>
            <w:noWrap/>
          </w:tcPr>
          <w:p>
            <w:pPr>
              <w:jc w:val="center"/>
            </w:pPr>
            <w:r>
              <w:rPr/>
              <w:t xml:space="preserve">18,561,265</w:t>
            </w:r>
            <w:r>
              <w:rPr>
                <w:vertAlign w:val="superscript"/>
              </w:rPr>
              <w:t xml:space="preserve">(5)</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(9)</w:t>
            </w:r>
            <w:r>
              <w:rPr>
                <w:vertAlign w:val="superscript"/>
              </w:rPr>
              <w:t xml:space="preserve">(10)</w:t>
            </w:r>
          </w:p>
        </w:tc>
      </w:tr>
      <w:tr>
        <w:trPr/>
        <w:tc>
          <w:tcPr>
            <w:tcW w:w="5000" w:type="pct"/>
            <w:noWrap/>
          </w:tcPr>
          <w:p>
            <w:pPr>
              <w:jc w:val="start"/>
            </w:pPr>
            <w:r>
              <w:rPr/>
              <w:t xml:space="preserve">Class A common stock</w:t>
            </w:r>
          </w:p>
        </w:tc>
        <w:tc>
          <w:tcPr>
            <w:tcW w:w="5000" w:type="pct"/>
            <w:noWrap/>
          </w:tcPr>
          <w:p>
            <w:pPr>
              <w:jc w:val="center"/>
            </w:pPr>
            <w:r>
              <w:rPr/>
              <w:t xml:space="preserve">09/12/2019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413,900</w:t>
            </w:r>
            <w:r>
              <w:rPr>
                <w:vertAlign w:val="superscript"/>
              </w:rPr>
              <w:t xml:space="preserve">(2)</w:t>
            </w:r>
            <w:r>
              <w:rPr>
                <w:vertAlign w:val="superscript"/>
              </w:rPr>
              <w:t xml:space="preserve">(6)</w:t>
            </w:r>
          </w:p>
        </w:tc>
        <w:tc>
          <w:tcPr>
            <w:tcW w:w="5000" w:type="pct"/>
            <w:noWrap/>
          </w:tcPr>
          <w:p>
            <w:pPr>
              <w:jc w:val="center"/>
            </w:pPr>
            <w:r>
              <w:rPr/>
              <w:t xml:space="preserve">A</w:t>
            </w:r>
          </w:p>
        </w:tc>
        <w:tc>
          <w:tcPr>
            <w:tcW w:w="5000" w:type="pct"/>
            <w:noWrap/>
          </w:tcPr>
          <w:p>
            <w:pPr>
              <w:jc w:val="center"/>
            </w:pPr>
            <w:r>
              <w:rPr/>
              <w:t xml:space="preserve">$</w:t>
            </w:r>
            <w:r>
              <w:rPr/>
              <w:t xml:space="preserve">6.2463</w:t>
            </w:r>
            <w:r>
              <w:rPr>
                <w:vertAlign w:val="superscript"/>
              </w:rPr>
              <w:t xml:space="preserve">(2)</w:t>
            </w:r>
            <w:r>
              <w:rPr>
                <w:vertAlign w:val="superscript"/>
              </w:rPr>
              <w:t xml:space="preserve">(7)</w:t>
            </w:r>
          </w:p>
        </w:tc>
        <w:tc>
          <w:tcPr>
            <w:tcW w:w="5000" w:type="pct"/>
            <w:noWrap/>
          </w:tcPr>
          <w:p>
            <w:pPr>
              <w:jc w:val="center"/>
            </w:pPr>
            <w:r>
              <w:rPr/>
              <w:t xml:space="preserve">18,975,165</w:t>
            </w:r>
            <w:r>
              <w:rPr>
                <w:vertAlign w:val="superscript"/>
              </w:rPr>
              <w:t xml:space="preserve">(8)</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(9)</w:t>
            </w:r>
            <w:r>
              <w:rPr>
                <w:vertAlign w:val="superscript"/>
              </w:rPr>
              <w:t xml:space="preserve">(10)</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The number of securities reported represents an aggregate number of shares of Class A common stock of the Issuer ("Common Stock") purchased in multiple market transactions over a range of purchase prices. The price reported represents the weighted average price per share. Each Reporting Person undertakes to provide the staff of the SEC, the Issuer, or a stockholder of the Issuer, upon request, the number of shares of Common Stock purchased by the Reporting Person at each separate price within the range.</w:t>
            </w:r>
          </w:p>
        </w:tc>
      </w:tr>
      <w:tr>
        <w:trPr/>
        <w:tc>
          <w:tcPr>
            <w:tcW w:w="5000" w:type="pct"/>
            <w:noWrap/>
          </w:tcPr>
          <w:p>
            <w:pPr/>
            <w:r>
              <w:rPr/>
              <w:t xml:space="preserve">3. Represents an aggregate of 224,101 shares of Common Stock purchased by ACP Onshore and 222,899 shares of Common Stock purchased by ACP Offshore.</w:t>
            </w:r>
          </w:p>
        </w:tc>
      </w:tr>
      <w:tr>
        <w:trPr/>
        <w:tc>
          <w:tcPr>
            <w:tcW w:w="5000" w:type="pct"/>
            <w:noWrap/>
          </w:tcPr>
          <w:p>
            <w:pPr/>
            <w:r>
              <w:rPr/>
              <w:t xml:space="preserve">4. Purchase prices range from $5.365 to $5.905 per share, inclusive.</w:t>
            </w:r>
          </w:p>
        </w:tc>
      </w:tr>
      <w:tr>
        <w:trPr/>
        <w:tc>
          <w:tcPr>
            <w:tcW w:w="5000" w:type="pct"/>
            <w:noWrap/>
          </w:tcPr>
          <w:p>
            <w:pPr/>
            <w:r>
              <w:rPr/>
              <w:t xml:space="preserve">5. Represents 8,779,826 shares of Common Stock owned directly by ACP Onshore, 8,732,748 shares of Common Stock owned directly by ACP Offshore, and 1,048,691 shares of Common Stock owned directly by the Sponsor.</w:t>
            </w:r>
          </w:p>
        </w:tc>
      </w:tr>
      <w:tr>
        <w:trPr/>
        <w:tc>
          <w:tcPr>
            <w:tcW w:w="5000" w:type="pct"/>
            <w:noWrap/>
          </w:tcPr>
          <w:p>
            <w:pPr/>
            <w:r>
              <w:rPr/>
              <w:t xml:space="preserve">6. Represents an aggregate of 207,507 shares of Common Stock purchased by ACP Onshore and 206,393 shares of Common Stock purchased by ACP Offshore.</w:t>
            </w:r>
          </w:p>
        </w:tc>
      </w:tr>
      <w:tr>
        <w:trPr/>
        <w:tc>
          <w:tcPr>
            <w:tcW w:w="5000" w:type="pct"/>
            <w:noWrap/>
          </w:tcPr>
          <w:p>
            <w:pPr/>
            <w:r>
              <w:rPr/>
              <w:t xml:space="preserve">7. Purchase prices range from $5.62 to $6.25 per share, inclusive.</w:t>
            </w:r>
          </w:p>
        </w:tc>
      </w:tr>
      <w:tr>
        <w:trPr/>
        <w:tc>
          <w:tcPr>
            <w:tcW w:w="5000" w:type="pct"/>
            <w:noWrap/>
          </w:tcPr>
          <w:p>
            <w:pPr/>
            <w:r>
              <w:rPr/>
              <w:t xml:space="preserve">8. Represents 8,987,333 shares of Common Stock owned directly by ACP Onshore, 8,939,141 shares of Common Stock owned directly by ACP Offshore, and 1,048,691 shares of Common Stock owned directly by the Sponsor.</w:t>
            </w:r>
          </w:p>
        </w:tc>
      </w:tr>
      <w:tr>
        <w:trPr/>
        <w:tc>
          <w:tcPr>
            <w:tcW w:w="5000" w:type="pct"/>
            <w:noWrap/>
          </w:tcPr>
          <w:p>
            <w:pPr/>
            <w:r>
              <w:rPr/>
              <w:t xml:space="preserve">9.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10.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09/13/2019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2026-08-07T12:19:37-04:00</dcterms:created>
  <dcterms:modified xsi:type="dcterms:W3CDTF">2026-08-07T12:19:37-04:00</dcterms:modified>
</cp:coreProperties>
</file>

<file path=docProps/custom.xml><?xml version="1.0" encoding="utf-8"?>
<Properties xmlns="http://schemas.openxmlformats.org/officeDocument/2006/custom-properties" xmlns:vt="http://schemas.openxmlformats.org/officeDocument/2006/docPropsVTypes"/>
</file>