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11/26/2019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11/26/2019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6,000,000</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5</w:t>
            </w:r>
            <w:r>
              <w:rPr>
                <w:vertAlign w:val="superscript"/>
              </w:rPr>
              <w:t xml:space="preserve">(3)</w:t>
            </w:r>
          </w:p>
        </w:tc>
        <w:tc>
          <w:tcPr>
            <w:tcW w:w="5000" w:type="pct"/>
            <w:noWrap/>
          </w:tcPr>
          <w:p>
            <w:pPr>
              <w:jc w:val="center"/>
            </w:pPr>
            <w:r>
              <w:rPr/>
              <w:t xml:space="preserve">24,975,165</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(4)</w:t>
            </w:r>
            <w:r>
              <w:rPr>
                <w:vertAlign w:val="superscript"/>
              </w:rPr>
              <w:t xml:space="preserve">(5)</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and together with ACP Onshore, the "Avista Funds");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Represents an aggregate of 3,008,064 shares of Common Stock purchased by ACP Onshore and 2,991,936 shares of Common Stock purchased by ACP Offshore in the Issuer's underwritten public offering (the "Offering") that was completed on November 26, 2019.</w:t>
            </w:r>
          </w:p>
        </w:tc>
      </w:tr>
      <w:tr>
        <w:trPr/>
        <w:tc>
          <w:tcPr>
            <w:tcW w:w="5000" w:type="pct"/>
            <w:noWrap/>
          </w:tcPr>
          <w:p>
            <w:pPr/>
            <w:r>
              <w:rPr/>
              <w:t xml:space="preserve">3. Represents the public offering price of $5.00 per share of Common Stock, without giving effect to the fee paid by the Issuer to Avista Capital Holdings, L.P., an affiliate of the Avista Funds ("Avista Management"), pursuant to the Fee Letter Agreement, dated November 19, 2019, among the Issuer, Avista Management and the Avista Funds, made in connection with the Offering, as described in the Issuer's Current Report on Form 8-K filed on November 22, 2019 and filed as Exhibit 10.1 thereto.</w:t>
            </w:r>
          </w:p>
        </w:tc>
      </w:tr>
      <w:tr>
        <w:trPr/>
        <w:tc>
          <w:tcPr>
            <w:tcW w:w="5000" w:type="pct"/>
            <w:noWrap/>
          </w:tcPr>
          <w:p>
            <w:pPr/>
            <w:r>
              <w:rPr/>
              <w:t xml:space="preserve">4.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5.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11/27/2019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2026-08-07T12:19:32-04:00</dcterms:created>
  <dcterms:modified xsi:type="dcterms:W3CDTF">2026-08-07T12:19:32-04:00</dcterms:modified>
</cp:coreProperties>
</file>

<file path=docProps/custom.xml><?xml version="1.0" encoding="utf-8"?>
<Properties xmlns="http://schemas.openxmlformats.org/officeDocument/2006/custom-properties" xmlns:vt="http://schemas.openxmlformats.org/officeDocument/2006/docPropsVTypes"/>
</file>