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05/14/2021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05/14/2021</w:t>
            </w:r>
          </w:p>
        </w:tc>
        <w:tc>
          <w:tcPr>
            <w:tcW w:w="5000" w:type="pct"/>
            <w:noWrap/>
          </w:tcPr>
          <w:p>
            <w:pPr>
              <w:jc w:val="center"/>
            </w:pPr>
          </w:p>
        </w:tc>
        <w:tc>
          <w:tcPr>
            <w:tcW w:w="5000" w:type="pct"/>
            <w:noWrap/>
          </w:tcPr>
          <w:p>
            <w:pPr>
              <w:jc w:val="center"/>
            </w:pPr>
            <w:r>
              <w:rPr/>
              <w:t xml:space="preserve">J</w:t>
            </w:r>
          </w:p>
        </w:tc>
        <w:tc>
          <w:tcPr>
            <w:tcW w:w="5000" w:type="pct"/>
            <w:noWrap/>
          </w:tcPr>
          <w:p>
            <w:pPr>
              <w:jc w:val="center"/>
            </w:pPr>
          </w:p>
        </w:tc>
        <w:tc>
          <w:tcPr>
            <w:tcW w:w="5000" w:type="pct"/>
            <w:noWrap/>
          </w:tcPr>
          <w:p>
            <w:pPr>
              <w:jc w:val="center"/>
            </w:pPr>
            <w:r>
              <w:rPr/>
              <w:t xml:space="preserve">21,154,526</w:t>
            </w:r>
            <w:r>
              <w:rPr>
                <w:vertAlign w:val="superscript"/>
              </w:rPr>
              <w:t xml:space="preserve">(2)</w:t>
            </w:r>
            <w:r>
              <w:rPr>
                <w:vertAlign w:val="superscript"/>
              </w:rPr>
              <w:t xml:space="preserve">(3)</w:t>
            </w:r>
          </w:p>
        </w:tc>
        <w:tc>
          <w:tcPr>
            <w:tcW w:w="5000" w:type="pct"/>
            <w:noWrap/>
          </w:tcPr>
          <w:p>
            <w:pPr>
              <w:jc w:val="center"/>
            </w:pPr>
            <w:r>
              <w:rPr/>
              <w:t xml:space="preserve">D</w:t>
            </w:r>
          </w:p>
        </w:tc>
        <w:tc>
          <w:tcPr>
            <w:tcW w:w="5000" w:type="pct"/>
            <w:noWrap/>
          </w:tcPr>
          <w:p>
            <w:pPr>
              <w:jc w:val="center"/>
            </w:pPr>
            <w:r>
              <w:rPr/>
              <w:t xml:space="preserve">$</w:t>
            </w:r>
            <w:r>
              <w:rPr/>
              <w:t xml:space="preserve">0</w:t>
            </w:r>
            <w:r>
              <w:rPr>
                <w:vertAlign w:val="superscript"/>
              </w:rPr>
              <w:t xml:space="preserve">(2)</w:t>
            </w:r>
          </w:p>
        </w:tc>
        <w:tc>
          <w:tcPr>
            <w:tcW w:w="5000" w:type="pct"/>
            <w:noWrap/>
          </w:tcPr>
          <w:p>
            <w:pPr>
              <w:jc w:val="center"/>
            </w:pPr>
            <w:r>
              <w:rPr/>
              <w:t xml:space="preserve">7,721,298</w:t>
            </w:r>
            <w:r>
              <w:rPr>
                <w:vertAlign w:val="superscript"/>
              </w:rPr>
              <w:t xml:space="preserve">(3)</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(6)</w:t>
            </w:r>
            <w:r>
              <w:rPr>
                <w:vertAlign w:val="superscript"/>
              </w:rPr>
              <w:t xml:space="preserve">(7)</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95,384</w:t>
            </w:r>
            <w:r>
              <w:rPr>
                <w:vertAlign w:val="superscript"/>
              </w:rPr>
              <w:t xml:space="preserve">(4)</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(4)</w:t>
            </w:r>
            <w:r>
              <w:rPr>
                <w:vertAlign w:val="superscript"/>
              </w:rPr>
              <w:t xml:space="preserve">(6)</w:t>
            </w:r>
            <w:r>
              <w:rPr>
                <w:vertAlign w:val="superscript"/>
              </w:rPr>
              <w:t xml:space="preserve">(7)</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71,538</w:t>
            </w:r>
            <w:r>
              <w:rPr>
                <w:vertAlign w:val="superscript"/>
              </w:rPr>
              <w:t xml:space="preserve">(5)</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(5)</w:t>
            </w:r>
            <w:r>
              <w:rPr>
                <w:vertAlign w:val="superscript"/>
              </w:rPr>
              <w:t xml:space="preserve">(6)</w:t>
            </w:r>
            <w:r>
              <w:rPr>
                <w:vertAlign w:val="superscript"/>
              </w:rPr>
              <w:t xml:space="preserve">(7)</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w:t>
                  </w:r>
                </w:p>
              </w:tc>
            </w:tr>
            <w:tr>
              <w:trPr/>
              <w:tc>
                <w:tcPr>
                  <w:tcW w:w="5000" w:type="pct"/>
                  <w:vAlign w:val="top"/>
                  <w:noWrap/>
                </w:tcPr>
                <w:p>
                  <w:pPr/>
                  <w:r>
                    <w:rPr/>
                    <w:t xml:space="preserve">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Capital Partners IV, L.P. ("ACP Onshore"); Avista Capital Partners (Offshore) IV, L.P. ("ACP Offshore"); Avista Capital Partners IV GP, L.P. ("Avista GP"), which is the general partner of ACP Onshore and ACP Offshore; Avista Capital Managing Member IV, LLC, which is the general partner of Avista GP; Thompson Dean; and David Burgstahler.</w:t>
            </w:r>
          </w:p>
        </w:tc>
      </w:tr>
      <w:tr>
        <w:trPr/>
        <w:tc>
          <w:tcPr>
            <w:tcW w:w="5000" w:type="pct"/>
            <w:noWrap/>
          </w:tcPr>
          <w:p>
            <w:pPr/>
            <w:r>
              <w:rPr/>
              <w:t xml:space="preserve">2. Represents an aggregate of 9,664,970 shares of common stock distributed by ACP Onshore and 11,489,556 shares of common stock distributed by ACP Offshore, in each case, on a pro rata basis to their respective limited partners in accordance with their organizational documents for no additional consideration (the "Distribution").</w:t>
            </w:r>
          </w:p>
        </w:tc>
      </w:tr>
      <w:tr>
        <w:trPr/>
        <w:tc>
          <w:tcPr>
            <w:tcW w:w="5000" w:type="pct"/>
            <w:noWrap/>
          </w:tcPr>
          <w:p>
            <w:pPr/>
            <w:r>
              <w:rPr/>
              <w:t xml:space="preserve">3. Represents an aggregate of 4,811,747 shares of common stock directly held by ACP Onshore and 2,909,551 shares of common stock directly held by ACP Offshore, in each case following the Distribution.</w:t>
            </w:r>
          </w:p>
        </w:tc>
      </w:tr>
      <w:tr>
        <w:trPr/>
        <w:tc>
          <w:tcPr>
            <w:tcW w:w="5000" w:type="pct"/>
            <w:noWrap/>
          </w:tcPr>
          <w:p>
            <w:pPr/>
            <w:r>
              <w:rPr/>
              <w:t xml:space="preserve">4. Represents shares indirectly beneficially owned by Thompson Dean as trustee of a grantor retained annuity trust following the Distribution.</w:t>
            </w:r>
          </w:p>
        </w:tc>
      </w:tr>
      <w:tr>
        <w:trPr/>
        <w:tc>
          <w:tcPr>
            <w:tcW w:w="5000" w:type="pct"/>
            <w:noWrap/>
          </w:tcPr>
          <w:p>
            <w:pPr/>
            <w:r>
              <w:rPr/>
              <w:t xml:space="preserve">5. Represents shares indirectly beneficially owned by David Burgstahler as trustee of a grantor retained annuity trust following the Distribution.</w:t>
            </w:r>
          </w:p>
        </w:tc>
      </w:tr>
      <w:tr>
        <w:trPr/>
        <w:tc>
          <w:tcPr>
            <w:tcW w:w="5000" w:type="pct"/>
            <w:noWrap/>
          </w:tcPr>
          <w:p>
            <w:pPr/>
            <w:r>
              <w:rPr/>
              <w:t xml:space="preserve">6.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Joshua Tamaroff, an employee of an affiliate of the Reporting Persons, serves on the board of directors of the Issuer as a representative of the Reporting Persons.</w:t>
            </w:r>
          </w:p>
        </w:tc>
      </w:tr>
      <w:tr>
        <w:trPr/>
        <w:tc>
          <w:tcPr>
            <w:tcW w:w="5000" w:type="pct"/>
            <w:noWrap/>
          </w:tcPr>
          <w:p>
            <w:pPr/>
            <w:r>
              <w:rPr/>
              <w:t xml:space="preserve">7.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 incorporated herein by reference</w:t>
            </w:r>
          </w:p>
        </w:tc>
        <w:tc>
          <w:tcPr>
            <w:tcW w:w="1000" w:type="pct"/>
            <w:noWrap/>
          </w:tcPr>
          <w:p>
            <w:pPr/>
            <w:r>
              <w:rPr>
                <w:u w:val="single"/>
              </w:rPr>
              <w:t xml:space="preserve">05/18/2021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1187" TargetMode="External"/><Relationship Id="rId10" Type="http://schemas.openxmlformats.org/officeDocument/2006/relationships/hyperlink" Target="/cgi-bin/browse-edgar?action=getcompany&amp;CIK=0001686388" TargetMode="External"/><Relationship Id="rId11" Type="http://schemas.openxmlformats.org/officeDocument/2006/relationships/hyperlink" Target="/cgi-bin/browse-edgar?action=getcompany&amp;CIK=0001664176" TargetMode="External"/><Relationship Id="rId12" Type="http://schemas.openxmlformats.org/officeDocument/2006/relationships/hyperlink" Target="/cgi-bin/browse-edgar?action=getcompany&amp;CIK=0001664173" TargetMode="External"/><Relationship Id="rId13" Type="http://schemas.openxmlformats.org/officeDocument/2006/relationships/hyperlink" Target="/cgi-bin/browse-edgar?action=getcompany&amp;CIK=0001761195" TargetMode="External"/><Relationship Id="rId14" Type="http://schemas.openxmlformats.org/officeDocument/2006/relationships/hyperlink" Target="/cgi-bin/browse-edgar?action=getcompany&amp;CIK=0001069096" TargetMode="External"/><Relationship Id="rId15"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2026-08-07T12:18:58-04:00</dcterms:created>
  <dcterms:modified xsi:type="dcterms:W3CDTF">2026-08-07T12:18:58-04:00</dcterms:modified>
</cp:coreProperties>
</file>

<file path=docProps/custom.xml><?xml version="1.0" encoding="utf-8"?>
<Properties xmlns="http://schemas.openxmlformats.org/officeDocument/2006/custom-properties" xmlns:vt="http://schemas.openxmlformats.org/officeDocument/2006/docPropsVTypes"/>
</file>