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1800" w:type="dxa"/>
        <w:gridCol w:w="300" w:type="dxa"/>
        <w:gridCol w:w="250" w:type="dxa"/>
        <w:gridCol w:w="350" w:type="dxa"/>
        <w:gridCol w:w="950" w:type="dxa"/>
        <w:gridCol w:w="550" w:type="dxa"/>
        <w:gridCol w:w="450" w:type="dxa"/>
        <w:gridCol w:w="4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1.7</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397,900</w:t>
            </w:r>
          </w:p>
        </w:tc>
        <w:tc>
          <w:tcPr>
            <w:tcW w:w="5000" w:type="pct"/>
            <w:noWrap/>
          </w:tcPr>
          <w:p>
            <w:pPr>
              <w:jc w:val="center"/>
            </w:pP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07/01/2019</w:t>
            </w:r>
          </w:p>
        </w:tc>
        <w:tc>
          <w:tcPr>
            <w:tcW w:w="5000" w:type="pct"/>
            <w:noWrap/>
          </w:tcPr>
          <w:p>
            <w:pPr>
              <w:jc w:val="center"/>
            </w:pPr>
            <w:r>
              <w:rPr/>
              <w:t xml:space="preserve">Common Stock</w:t>
            </w:r>
          </w:p>
        </w:tc>
        <w:tc>
          <w:tcPr>
            <w:tcW w:w="5000" w:type="pct"/>
            <w:noWrap/>
          </w:tcPr>
          <w:p>
            <w:pPr>
              <w:jc w:val="center"/>
            </w:pPr>
            <w:r>
              <w:rPr/>
              <w:t xml:space="preserve">397,900</w:t>
            </w:r>
          </w:p>
        </w:tc>
        <w:tc>
          <w:tcPr>
            <w:tcW w:w="5000" w:type="pct"/>
            <w:noWrap/>
          </w:tcPr>
          <w:p>
            <w:pPr>
              <w:jc w:val="center"/>
            </w:pPr>
            <w:r>
              <w:rPr>
                <w:vertAlign w:val="superscript"/>
              </w:rPr>
              <w:t xml:space="preserve">(2)</w:t>
            </w:r>
          </w:p>
        </w:tc>
        <w:tc>
          <w:tcPr>
            <w:tcW w:w="5000" w:type="pct"/>
            <w:noWrap/>
          </w:tcPr>
          <w:p>
            <w:pPr>
              <w:jc w:val="center"/>
            </w:pPr>
            <w:r>
              <w:rPr/>
              <w:t xml:space="preserve">397,900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704,410</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07/25/2023</w:t>
            </w:r>
          </w:p>
        </w:tc>
        <w:tc>
          <w:tcPr>
            <w:tcW w:w="5000" w:type="pct"/>
            <w:noWrap/>
          </w:tcPr>
          <w:p>
            <w:pPr>
              <w:jc w:val="center"/>
            </w:pPr>
            <w:r>
              <w:rPr/>
              <w:t xml:space="preserve">Common Stock</w:t>
            </w:r>
          </w:p>
        </w:tc>
        <w:tc>
          <w:tcPr>
            <w:tcW w:w="5000" w:type="pct"/>
            <w:noWrap/>
          </w:tcPr>
          <w:p>
            <w:pPr>
              <w:jc w:val="center"/>
            </w:pPr>
            <w:r>
              <w:rPr/>
              <w:t xml:space="preserve">704,410</w:t>
            </w:r>
          </w:p>
        </w:tc>
        <w:tc>
          <w:tcPr>
            <w:tcW w:w="5000" w:type="pct"/>
            <w:noWrap/>
          </w:tcPr>
          <w:p>
            <w:pPr>
              <w:jc w:val="center"/>
            </w:pPr>
            <w:r>
              <w:rPr>
                <w:vertAlign w:val="superscript"/>
              </w:rPr>
              <w:t xml:space="preserve">(4)</w:t>
            </w:r>
          </w:p>
        </w:tc>
        <w:tc>
          <w:tcPr>
            <w:tcW w:w="5000" w:type="pct"/>
            <w:noWrap/>
          </w:tcPr>
          <w:p>
            <w:pPr>
              <w:jc w:val="center"/>
            </w:pPr>
            <w:r>
              <w:rPr/>
              <w:t xml:space="preserve">704,410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664,804</w:t>
            </w:r>
          </w:p>
        </w:tc>
        <w:tc>
          <w:tcPr>
            <w:tcW w:w="5000" w:type="pct"/>
            <w:noWrap/>
          </w:tcPr>
          <w:p>
            <w:pPr>
              <w:jc w:val="center"/>
            </w:pPr>
          </w:p>
        </w:tc>
        <w:tc>
          <w:tcPr>
            <w:tcW w:w="5000" w:type="pct"/>
            <w:noWrap/>
          </w:tcPr>
          <w:p>
            <w:pPr>
              <w:jc w:val="center"/>
            </w:pPr>
            <w:r>
              <w:rPr/>
              <w:t xml:space="preserve">                            </w:t>
            </w:r>
            <w:r>
              <w:rPr>
                <w:vertAlign w:val="superscript"/>
              </w:rPr>
              <w:t xml:space="preserve">(1)</w:t>
            </w:r>
          </w:p>
        </w:tc>
        <w:tc>
          <w:tcPr>
            <w:tcW w:w="5000" w:type="pct"/>
            <w:noWrap/>
          </w:tcPr>
          <w:p>
            <w:pPr>
              <w:jc w:val="center"/>
            </w:pPr>
            <w:r>
              <w:rPr/>
              <w:t xml:space="preserve">08/21/2024</w:t>
            </w:r>
          </w:p>
        </w:tc>
        <w:tc>
          <w:tcPr>
            <w:tcW w:w="5000" w:type="pct"/>
            <w:noWrap/>
          </w:tcPr>
          <w:p>
            <w:pPr>
              <w:jc w:val="center"/>
            </w:pPr>
            <w:r>
              <w:rPr/>
              <w:t xml:space="preserve">Common Stock</w:t>
            </w:r>
          </w:p>
        </w:tc>
        <w:tc>
          <w:tcPr>
            <w:tcW w:w="5000" w:type="pct"/>
            <w:noWrap/>
          </w:tcPr>
          <w:p>
            <w:pPr>
              <w:jc w:val="center"/>
            </w:pPr>
            <w:r>
              <w:rPr/>
              <w:t xml:space="preserve">664,804</w:t>
            </w:r>
          </w:p>
        </w:tc>
        <w:tc>
          <w:tcPr>
            <w:tcW w:w="5000" w:type="pct"/>
            <w:noWrap/>
          </w:tcPr>
          <w:p>
            <w:pPr>
              <w:jc w:val="center"/>
            </w:pPr>
            <w:r>
              <w:rPr>
                <w:vertAlign w:val="superscript"/>
              </w:rPr>
              <w:t xml:space="preserve">(5)</w:t>
            </w:r>
          </w:p>
        </w:tc>
        <w:tc>
          <w:tcPr>
            <w:tcW w:w="5000" w:type="pct"/>
            <w:noWrap/>
          </w:tcPr>
          <w:p>
            <w:pPr>
              <w:jc w:val="center"/>
            </w:pPr>
            <w:r>
              <w:rPr/>
              <w:t xml:space="preserve">664,804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1,637,631</w:t>
            </w:r>
          </w:p>
        </w:tc>
        <w:tc>
          <w:tcPr>
            <w:tcW w:w="5000" w:type="pct"/>
            <w:noWrap/>
          </w:tcPr>
          <w:p>
            <w:pPr>
              <w:jc w:val="center"/>
            </w:pP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12/08/2024</w:t>
            </w:r>
          </w:p>
        </w:tc>
        <w:tc>
          <w:tcPr>
            <w:tcW w:w="5000" w:type="pct"/>
            <w:noWrap/>
          </w:tcPr>
          <w:p>
            <w:pPr>
              <w:jc w:val="center"/>
            </w:pPr>
            <w:r>
              <w:rPr/>
              <w:t xml:space="preserve">Common Stock</w:t>
            </w:r>
          </w:p>
        </w:tc>
        <w:tc>
          <w:tcPr>
            <w:tcW w:w="5000" w:type="pct"/>
            <w:noWrap/>
          </w:tcPr>
          <w:p>
            <w:pPr>
              <w:jc w:val="center"/>
            </w:pPr>
            <w:r>
              <w:rPr/>
              <w:t xml:space="preserve">1,637,631</w:t>
            </w:r>
          </w:p>
        </w:tc>
        <w:tc>
          <w:tcPr>
            <w:tcW w:w="5000" w:type="pct"/>
            <w:noWrap/>
          </w:tcPr>
          <w:p>
            <w:pPr>
              <w:jc w:val="center"/>
            </w:pPr>
            <w:r>
              <w:rPr>
                <w:vertAlign w:val="superscript"/>
              </w:rPr>
              <w:t xml:space="preserve">(7)</w:t>
            </w:r>
          </w:p>
        </w:tc>
        <w:tc>
          <w:tcPr>
            <w:tcW w:w="5000" w:type="pct"/>
            <w:noWrap/>
          </w:tcPr>
          <w:p>
            <w:pPr>
              <w:jc w:val="center"/>
            </w:pPr>
            <w:r>
              <w:rPr/>
              <w:t xml:space="preserve">1,637,631</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100% of the shares subject to this option are fully vested and exercisable.</w:t>
            </w:r>
          </w:p>
        </w:tc>
      </w:tr>
      <w:tr>
        <w:trPr/>
        <w:tc>
          <w:tcPr>
            <w:tcW w:w="5000" w:type="pct"/>
            <w:noWrap/>
          </w:tcPr>
          <w:p>
            <w:pPr/>
            <w:r>
              <w:rPr/>
              <w:t xml:space="preserve">2. Received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an option to acquire 196,010 shares of common stock of Organogenesis for $3.45 per share.</w:t>
            </w:r>
          </w:p>
        </w:tc>
      </w:tr>
      <w:tr>
        <w:trPr/>
        <w:tc>
          <w:tcPr>
            <w:tcW w:w="5000" w:type="pct"/>
            <w:noWrap/>
          </w:tcPr>
          <w:p>
            <w:pPr/>
            <w:r>
              <w:rPr/>
              <w:t xml:space="preserve">3. The shares underlying the option vested or shall vest 20% annually beginning on January 1, 2016.</w:t>
            </w:r>
          </w:p>
        </w:tc>
      </w:tr>
      <w:tr>
        <w:trPr/>
        <w:tc>
          <w:tcPr>
            <w:tcW w:w="5000" w:type="pct"/>
            <w:noWrap/>
          </w:tcPr>
          <w:p>
            <w:pPr/>
            <w:r>
              <w:rPr/>
              <w:t xml:space="preserve">4. Received in connection with the Merger in exchange for an option to acquire 347,000 shares of common stock of Organogenesis for $2.00 per share.</w:t>
            </w:r>
          </w:p>
        </w:tc>
      </w:tr>
      <w:tr>
        <w:trPr/>
        <w:tc>
          <w:tcPr>
            <w:tcW w:w="5000" w:type="pct"/>
            <w:noWrap/>
          </w:tcPr>
          <w:p>
            <w:pPr/>
            <w:r>
              <w:rPr/>
              <w:t xml:space="preserve">5. Received in connection with the Merger in exchange for an option to acquire 327,490 shares of common stock of Organogenesis for $2.00 per share.</w:t>
            </w:r>
          </w:p>
        </w:tc>
      </w:tr>
      <w:tr>
        <w:trPr/>
        <w:tc>
          <w:tcPr>
            <w:tcW w:w="5000" w:type="pct"/>
            <w:noWrap/>
          </w:tcPr>
          <w:p>
            <w:pPr/>
            <w:r>
              <w:rPr/>
              <w:t xml:space="preserve">6. The shares underlying the option vested or shall vest 20% annually beginning on December 8, 2015.</w:t>
            </w:r>
          </w:p>
        </w:tc>
      </w:tr>
      <w:tr>
        <w:trPr/>
        <w:tc>
          <w:tcPr>
            <w:tcW w:w="5000" w:type="pct"/>
            <w:noWrap/>
          </w:tcPr>
          <w:p>
            <w:pPr/>
            <w:r>
              <w:rPr/>
              <w:t xml:space="preserve">7. Received in connection with the Merger in exchange for an option to acquire 806,715 shares of common stock of Organogenesis for $2.00 per share.</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2026-08-08T03:40:16-04:00</dcterms:created>
  <dcterms:modified xsi:type="dcterms:W3CDTF">2026-08-08T03:40:16-04:00</dcterms:modified>
</cp:coreProperties>
</file>

<file path=docProps/custom.xml><?xml version="1.0" encoding="utf-8"?>
<Properties xmlns="http://schemas.openxmlformats.org/officeDocument/2006/custom-properties" xmlns:vt="http://schemas.openxmlformats.org/officeDocument/2006/docPropsVTypes"/>
</file>