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Common Stock</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121,800</w:t>
            </w:r>
          </w:p>
        </w:tc>
        <w:tc>
          <w:tcPr>
            <w:tcW w:w="5000" w:type="pct"/>
            <w:noWrap/>
          </w:tcPr>
          <w:p>
            <w:pPr>
              <w:jc w:val="center"/>
            </w:pPr>
            <w:r>
              <w:rPr/>
              <w:t xml:space="preserve">A</w:t>
            </w:r>
          </w:p>
        </w:tc>
        <w:tc>
          <w:tcPr>
            <w:tcW w:w="5000" w:type="pct"/>
            <w:noWrap/>
          </w:tcPr>
          <w:p>
            <w:pPr>
              <w:jc w:val="center"/>
            </w:pPr>
            <w:r>
              <w:rPr>
                <w:vertAlign w:val="superscript"/>
              </w:rPr>
              <w:t xml:space="preserve">(1)</w:t>
            </w:r>
          </w:p>
        </w:tc>
        <w:tc>
          <w:tcPr>
            <w:tcW w:w="5000" w:type="pct"/>
            <w:noWrap/>
          </w:tcPr>
          <w:p>
            <w:pPr>
              <w:jc w:val="center"/>
            </w:pPr>
            <w:r>
              <w:rPr/>
              <w:t xml:space="preserve">121,800</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1.44</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30,450</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12/06/2021</w:t>
            </w:r>
          </w:p>
        </w:tc>
        <w:tc>
          <w:tcPr>
            <w:tcW w:w="5000" w:type="pct"/>
            <w:noWrap/>
          </w:tcPr>
          <w:p>
            <w:pPr>
              <w:jc w:val="center"/>
            </w:pPr>
            <w:r>
              <w:rPr/>
              <w:t xml:space="preserve">Common  Stock</w:t>
            </w:r>
          </w:p>
        </w:tc>
        <w:tc>
          <w:tcPr>
            <w:tcW w:w="5000" w:type="pct"/>
            <w:noWrap/>
          </w:tcPr>
          <w:p>
            <w:pPr>
              <w:jc w:val="center"/>
            </w:pPr>
            <w:r>
              <w:rPr/>
              <w:t xml:space="preserve">30,450</w:t>
            </w:r>
          </w:p>
        </w:tc>
        <w:tc>
          <w:tcPr>
            <w:tcW w:w="5000" w:type="pct"/>
            <w:noWrap/>
          </w:tcPr>
          <w:p>
            <w:pPr>
              <w:jc w:val="center"/>
            </w:pPr>
            <w:r>
              <w:rPr>
                <w:vertAlign w:val="superscript"/>
              </w:rPr>
              <w:t xml:space="preserve">(3)</w:t>
            </w:r>
          </w:p>
        </w:tc>
        <w:tc>
          <w:tcPr>
            <w:tcW w:w="5000" w:type="pct"/>
            <w:noWrap/>
          </w:tcPr>
          <w:p>
            <w:pPr>
              <w:jc w:val="center"/>
            </w:pPr>
            <w:r>
              <w:rPr/>
              <w:t xml:space="preserve">30,450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1.18</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152,250</w:t>
            </w:r>
          </w:p>
        </w:tc>
        <w:tc>
          <w:tcPr>
            <w:tcW w:w="5000" w:type="pct"/>
            <w:noWrap/>
          </w:tcPr>
          <w:p>
            <w:pPr>
              <w:jc w:val="center"/>
            </w:pPr>
          </w:p>
        </w:tc>
        <w:tc>
          <w:tcPr>
            <w:tcW w:w="5000" w:type="pct"/>
            <w:noWrap/>
          </w:tcPr>
          <w:p>
            <w:pPr>
              <w:jc w:val="center"/>
            </w:pPr>
            <w:r>
              <w:rPr/>
              <w:t xml:space="preserve">                            </w:t>
            </w:r>
            <w:r>
              <w:rPr>
                <w:vertAlign w:val="superscript"/>
              </w:rPr>
              <w:t xml:space="preserve">(4)</w:t>
            </w:r>
          </w:p>
        </w:tc>
        <w:tc>
          <w:tcPr>
            <w:tcW w:w="5000" w:type="pct"/>
            <w:noWrap/>
          </w:tcPr>
          <w:p>
            <w:pPr>
              <w:jc w:val="center"/>
            </w:pPr>
            <w:r>
              <w:rPr/>
              <w:t xml:space="preserve">04/10/2024</w:t>
            </w:r>
          </w:p>
        </w:tc>
        <w:tc>
          <w:tcPr>
            <w:tcW w:w="5000" w:type="pct"/>
            <w:noWrap/>
          </w:tcPr>
          <w:p>
            <w:pPr>
              <w:jc w:val="center"/>
            </w:pPr>
            <w:r>
              <w:rPr/>
              <w:t xml:space="preserve">Common Stock</w:t>
            </w:r>
          </w:p>
        </w:tc>
        <w:tc>
          <w:tcPr>
            <w:tcW w:w="5000" w:type="pct"/>
            <w:noWrap/>
          </w:tcPr>
          <w:p>
            <w:pPr>
              <w:jc w:val="center"/>
            </w:pPr>
            <w:r>
              <w:rPr/>
              <w:t xml:space="preserve">152,250</w:t>
            </w:r>
          </w:p>
        </w:tc>
        <w:tc>
          <w:tcPr>
            <w:tcW w:w="5000" w:type="pct"/>
            <w:noWrap/>
          </w:tcPr>
          <w:p>
            <w:pPr>
              <w:jc w:val="center"/>
            </w:pPr>
            <w:r>
              <w:rPr>
                <w:vertAlign w:val="superscript"/>
              </w:rPr>
              <w:t xml:space="preserve">(5)</w:t>
            </w:r>
          </w:p>
        </w:tc>
        <w:tc>
          <w:tcPr>
            <w:tcW w:w="5000" w:type="pct"/>
            <w:noWrap/>
          </w:tcPr>
          <w:p>
            <w:pPr>
              <w:jc w:val="center"/>
            </w:pPr>
            <w:r>
              <w:rPr/>
              <w:t xml:space="preserve">152,250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3.46</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142,100</w:t>
            </w:r>
          </w:p>
        </w:tc>
        <w:tc>
          <w:tcPr>
            <w:tcW w:w="5000" w:type="pct"/>
            <w:noWrap/>
          </w:tcPr>
          <w:p>
            <w:pPr>
              <w:jc w:val="center"/>
            </w:pP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05/04/2027</w:t>
            </w:r>
          </w:p>
        </w:tc>
        <w:tc>
          <w:tcPr>
            <w:tcW w:w="5000" w:type="pct"/>
            <w:noWrap/>
          </w:tcPr>
          <w:p>
            <w:pPr>
              <w:jc w:val="center"/>
            </w:pPr>
            <w:r>
              <w:rPr/>
              <w:t xml:space="preserve">Common Stock</w:t>
            </w:r>
          </w:p>
        </w:tc>
        <w:tc>
          <w:tcPr>
            <w:tcW w:w="5000" w:type="pct"/>
            <w:noWrap/>
          </w:tcPr>
          <w:p>
            <w:pPr>
              <w:jc w:val="center"/>
            </w:pPr>
            <w:r>
              <w:rPr/>
              <w:t xml:space="preserve">142,100</w:t>
            </w:r>
          </w:p>
        </w:tc>
        <w:tc>
          <w:tcPr>
            <w:tcW w:w="5000" w:type="pct"/>
            <w:noWrap/>
          </w:tcPr>
          <w:p>
            <w:pPr>
              <w:jc w:val="center"/>
            </w:pPr>
            <w:r>
              <w:rPr>
                <w:vertAlign w:val="superscript"/>
              </w:rPr>
              <w:t xml:space="preserve">(7)</w:t>
            </w:r>
          </w:p>
        </w:tc>
        <w:tc>
          <w:tcPr>
            <w:tcW w:w="5000" w:type="pct"/>
            <w:noWrap/>
          </w:tcPr>
          <w:p>
            <w:pPr>
              <w:jc w:val="center"/>
            </w:pPr>
            <w:r>
              <w:rPr/>
              <w:t xml:space="preserve">142,100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3.46</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101,500</w:t>
            </w:r>
          </w:p>
        </w:tc>
        <w:tc>
          <w:tcPr>
            <w:tcW w:w="5000" w:type="pct"/>
            <w:noWrap/>
          </w:tcPr>
          <w:p>
            <w:pPr>
              <w:jc w:val="center"/>
            </w:pPr>
          </w:p>
        </w:tc>
        <w:tc>
          <w:tcPr>
            <w:tcW w:w="5000" w:type="pct"/>
            <w:noWrap/>
          </w:tcPr>
          <w:p>
            <w:pPr>
              <w:jc w:val="center"/>
            </w:pPr>
            <w:r>
              <w:rPr/>
              <w:t xml:space="preserve">                            </w:t>
            </w:r>
            <w:r>
              <w:rPr>
                <w:vertAlign w:val="superscript"/>
              </w:rPr>
              <w:t xml:space="preserve">(8)</w:t>
            </w:r>
          </w:p>
        </w:tc>
        <w:tc>
          <w:tcPr>
            <w:tcW w:w="5000" w:type="pct"/>
            <w:noWrap/>
          </w:tcPr>
          <w:p>
            <w:pPr>
              <w:jc w:val="center"/>
            </w:pPr>
            <w:r>
              <w:rPr/>
              <w:t xml:space="preserve">05/04/2027</w:t>
            </w:r>
          </w:p>
        </w:tc>
        <w:tc>
          <w:tcPr>
            <w:tcW w:w="5000" w:type="pct"/>
            <w:noWrap/>
          </w:tcPr>
          <w:p>
            <w:pPr>
              <w:jc w:val="center"/>
            </w:pPr>
            <w:r>
              <w:rPr/>
              <w:t xml:space="preserve">Common Stock</w:t>
            </w:r>
          </w:p>
        </w:tc>
        <w:tc>
          <w:tcPr>
            <w:tcW w:w="5000" w:type="pct"/>
            <w:noWrap/>
          </w:tcPr>
          <w:p>
            <w:pPr>
              <w:jc w:val="center"/>
            </w:pPr>
            <w:r>
              <w:rPr/>
              <w:t xml:space="preserve">101,500</w:t>
            </w:r>
          </w:p>
        </w:tc>
        <w:tc>
          <w:tcPr>
            <w:tcW w:w="5000" w:type="pct"/>
            <w:noWrap/>
          </w:tcPr>
          <w:p>
            <w:pPr>
              <w:jc w:val="center"/>
            </w:pPr>
            <w:r>
              <w:rPr>
                <w:vertAlign w:val="superscript"/>
              </w:rPr>
              <w:t xml:space="preserve">(9)</w:t>
            </w:r>
          </w:p>
        </w:tc>
        <w:tc>
          <w:tcPr>
            <w:tcW w:w="5000" w:type="pct"/>
            <w:noWrap/>
          </w:tcPr>
          <w:p>
            <w:pPr>
              <w:jc w:val="center"/>
            </w:pPr>
            <w:r>
              <w:rPr/>
              <w:t xml:space="preserve">101,500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Received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60,000 shares of common stock of Organogenesis.</w:t>
            </w:r>
          </w:p>
        </w:tc>
      </w:tr>
      <w:tr>
        <w:trPr/>
        <w:tc>
          <w:tcPr>
            <w:tcW w:w="5000" w:type="pct"/>
            <w:noWrap/>
          </w:tcPr>
          <w:p>
            <w:pPr/>
            <w:r>
              <w:rPr/>
              <w:t xml:space="preserve">2. 100% of the shares subject to this option are fully vested and exercisable.</w:t>
            </w:r>
          </w:p>
        </w:tc>
      </w:tr>
      <w:tr>
        <w:trPr/>
        <w:tc>
          <w:tcPr>
            <w:tcW w:w="5000" w:type="pct"/>
            <w:noWrap/>
          </w:tcPr>
          <w:p>
            <w:pPr/>
            <w:r>
              <w:rPr/>
              <w:t xml:space="preserve">3. Received in connection with the Merger in exchange for an option to acquire 15,000 shares of common stock of Organogenesis for $2.92 per share.</w:t>
            </w:r>
          </w:p>
        </w:tc>
      </w:tr>
      <w:tr>
        <w:trPr/>
        <w:tc>
          <w:tcPr>
            <w:tcW w:w="5000" w:type="pct"/>
            <w:noWrap/>
          </w:tcPr>
          <w:p>
            <w:pPr/>
            <w:r>
              <w:rPr/>
              <w:t xml:space="preserve">4. The shares underlying the option vested or shall vest 20% annually beginning on January 1, 2015.</w:t>
            </w:r>
          </w:p>
        </w:tc>
      </w:tr>
      <w:tr>
        <w:trPr/>
        <w:tc>
          <w:tcPr>
            <w:tcW w:w="5000" w:type="pct"/>
            <w:noWrap/>
          </w:tcPr>
          <w:p>
            <w:pPr/>
            <w:r>
              <w:rPr/>
              <w:t xml:space="preserve">5. Received in connection with the Merger in exchange for an option to acquire 75,000 shares of common stock of Organogenesis for $2.38 per share.</w:t>
            </w:r>
          </w:p>
        </w:tc>
      </w:tr>
      <w:tr>
        <w:trPr/>
        <w:tc>
          <w:tcPr>
            <w:tcW w:w="5000" w:type="pct"/>
            <w:noWrap/>
          </w:tcPr>
          <w:p>
            <w:pPr/>
            <w:r>
              <w:rPr/>
              <w:t xml:space="preserve">6. The shares underlying the option vested or shall vest 20% annually beginning on December 31, 2017.</w:t>
            </w:r>
          </w:p>
        </w:tc>
      </w:tr>
      <w:tr>
        <w:trPr/>
        <w:tc>
          <w:tcPr>
            <w:tcW w:w="5000" w:type="pct"/>
            <w:noWrap/>
          </w:tcPr>
          <w:p>
            <w:pPr/>
            <w:r>
              <w:rPr/>
              <w:t xml:space="preserve">7. Received in connection with the Merger in exchange for an option to acquire 70,000 shares of common stock of Organogenesis for $7.01 per share.</w:t>
            </w:r>
          </w:p>
        </w:tc>
      </w:tr>
      <w:tr>
        <w:trPr/>
        <w:tc>
          <w:tcPr>
            <w:tcW w:w="5000" w:type="pct"/>
            <w:noWrap/>
          </w:tcPr>
          <w:p>
            <w:pPr/>
            <w:r>
              <w:rPr/>
              <w:t xml:space="preserve">8. The shares underlying the option vested or shall vest 20% annually beginning on January 1, 2018.</w:t>
            </w:r>
          </w:p>
        </w:tc>
      </w:tr>
      <w:tr>
        <w:trPr/>
        <w:tc>
          <w:tcPr>
            <w:tcW w:w="5000" w:type="pct"/>
            <w:noWrap/>
          </w:tcPr>
          <w:p>
            <w:pPr/>
            <w:r>
              <w:rPr/>
              <w:t xml:space="preserve">9. Received in connection with the Merger in exchange for an option to acquire 50,000 shares of common stock of Organogenesis for $7.01 per share.</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2026-08-08T03:40:15-04:00</dcterms:created>
  <dcterms:modified xsi:type="dcterms:W3CDTF">2026-08-08T03:40:15-04:00</dcterms:modified>
</cp:coreProperties>
</file>

<file path=docProps/custom.xml><?xml version="1.0" encoding="utf-8"?>
<Properties xmlns="http://schemas.openxmlformats.org/officeDocument/2006/custom-properties" xmlns:vt="http://schemas.openxmlformats.org/officeDocument/2006/docPropsVTypes"/>
</file>