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Cunningham Timothy M.</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12/10/2018</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1800" w:type="dxa"/>
        <w:gridCol w:w="300" w:type="dxa"/>
        <w:gridCol w:w="250" w:type="dxa"/>
        <w:gridCol w:w="350" w:type="dxa"/>
        <w:gridCol w:w="950" w:type="dxa"/>
        <w:gridCol w:w="550" w:type="dxa"/>
        <w:gridCol w:w="450" w:type="dxa"/>
        <w:gridCol w:w="4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3.46</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559,620</w:t>
            </w:r>
          </w:p>
        </w:tc>
        <w:tc>
          <w:tcPr>
            <w:tcW w:w="5000" w:type="pct"/>
            <w:noWrap/>
          </w:tcPr>
          <w:p>
            <w:pPr>
              <w:jc w:val="center"/>
            </w:pP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05/04/2027</w:t>
            </w:r>
          </w:p>
        </w:tc>
        <w:tc>
          <w:tcPr>
            <w:tcW w:w="5000" w:type="pct"/>
            <w:noWrap/>
          </w:tcPr>
          <w:p>
            <w:pPr>
              <w:jc w:val="center"/>
            </w:pPr>
            <w:r>
              <w:rPr/>
              <w:t xml:space="preserve">Common  Stock</w:t>
            </w:r>
          </w:p>
        </w:tc>
        <w:tc>
          <w:tcPr>
            <w:tcW w:w="5000" w:type="pct"/>
            <w:noWrap/>
          </w:tcPr>
          <w:p>
            <w:pPr>
              <w:jc w:val="center"/>
            </w:pPr>
            <w:r>
              <w:rPr/>
              <w:t xml:space="preserve">559,620</w:t>
            </w:r>
          </w:p>
        </w:tc>
        <w:tc>
          <w:tcPr>
            <w:tcW w:w="5000" w:type="pct"/>
            <w:noWrap/>
          </w:tcPr>
          <w:p>
            <w:pPr>
              <w:jc w:val="center"/>
            </w:pPr>
            <w:r>
              <w:rPr>
                <w:vertAlign w:val="superscript"/>
              </w:rPr>
              <w:t xml:space="preserve">(2)</w:t>
            </w:r>
          </w:p>
        </w:tc>
        <w:tc>
          <w:tcPr>
            <w:tcW w:w="5000" w:type="pct"/>
            <w:noWrap/>
          </w:tcPr>
          <w:p>
            <w:pPr>
              <w:jc w:val="center"/>
            </w:pPr>
            <w:r>
              <w:rPr/>
              <w:t xml:space="preserve">559,620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shares underlying the option vested or shall vest 20% annually beginning on August 22, 2016.</w:t>
            </w:r>
          </w:p>
        </w:tc>
      </w:tr>
      <w:tr>
        <w:trPr/>
        <w:tc>
          <w:tcPr>
            <w:tcW w:w="5000" w:type="pct"/>
            <w:noWrap/>
          </w:tcPr>
          <w:p>
            <w:pPr/>
            <w:r>
              <w:rPr/>
              <w:t xml:space="preserve">2. Received in connection with the Issuer's business combination (the "Merger") with Organogenesis Inc. ("Organogenesis") in accordance with the terms of the Agreement and Plan of Merger dated as of August 17, 2018 among the Issuer, which was then referred to as Avista Healthcare Public Acquisition Corp., Avista Healthcare Merger Sub, Inc. and Organogenesis, in exchange for an option to acquire 275,675 shares of common stock of Organogenesis for $7.01 per share.</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426"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2026-08-08T03:40:15-04:00</dcterms:created>
  <dcterms:modified xsi:type="dcterms:W3CDTF">2026-08-08T03:40:15-04:00</dcterms:modified>
</cp:coreProperties>
</file>

<file path=docProps/custom.xml><?xml version="1.0" encoding="utf-8"?>
<Properties xmlns="http://schemas.openxmlformats.org/officeDocument/2006/custom-properties" xmlns:vt="http://schemas.openxmlformats.org/officeDocument/2006/docPropsVTypes"/>
</file>