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09/03/2019</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09/03/2019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50,000</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4.3786</w:t>
            </w:r>
            <w:r>
              <w:rPr>
                <w:vertAlign w:val="superscript"/>
              </w:rPr>
              <w:t xml:space="preserve">(2)</w:t>
            </w:r>
          </w:p>
        </w:tc>
        <w:tc>
          <w:tcPr>
            <w:tcW w:w="5000" w:type="pct"/>
            <w:noWrap/>
          </w:tcPr>
          <w:p>
            <w:pPr>
              <w:jc w:val="center"/>
            </w:pPr>
            <w:r>
              <w:rPr/>
              <w:t xml:space="preserve">67,896,723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09/03/2019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100</w:t>
            </w:r>
            <w:r>
              <w:rPr>
                <w:vertAlign w:val="superscript"/>
              </w:rPr>
              <w:t xml:space="preserve">(3)</w:t>
            </w:r>
          </w:p>
        </w:tc>
        <w:tc>
          <w:tcPr>
            <w:tcW w:w="5000" w:type="pct"/>
            <w:noWrap/>
          </w:tcPr>
          <w:p>
            <w:pPr>
              <w:jc w:val="center"/>
            </w:pPr>
            <w:r>
              <w:rPr/>
              <w:t xml:space="preserve">A</w:t>
            </w:r>
          </w:p>
        </w:tc>
        <w:tc>
          <w:tcPr>
            <w:tcW w:w="5000" w:type="pct"/>
            <w:noWrap/>
          </w:tcPr>
          <w:p>
            <w:pPr>
              <w:jc w:val="center"/>
            </w:pPr>
            <w:r>
              <w:rPr/>
              <w:t xml:space="preserve">$</w:t>
            </w:r>
            <w:r>
              <w:rPr/>
              <w:t xml:space="preserve">4.25</w:t>
            </w:r>
          </w:p>
        </w:tc>
        <w:tc>
          <w:tcPr>
            <w:tcW w:w="5000" w:type="pct"/>
            <w:noWrap/>
          </w:tcPr>
          <w:p>
            <w:pPr>
              <w:jc w:val="center"/>
            </w:pPr>
            <w:r>
              <w:rPr/>
              <w:t xml:space="preserve">67,896,823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09/04/2019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50,000</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4.6238</w:t>
            </w:r>
            <w:r>
              <w:rPr>
                <w:vertAlign w:val="superscript"/>
              </w:rPr>
              <w:t xml:space="preserve">(4)</w:t>
            </w:r>
          </w:p>
        </w:tc>
        <w:tc>
          <w:tcPr>
            <w:tcW w:w="5000" w:type="pct"/>
            <w:noWrap/>
          </w:tcPr>
          <w:p>
            <w:pPr>
              <w:jc w:val="center"/>
            </w:pPr>
            <w:r>
              <w:rPr/>
              <w:t xml:space="preserve">67,946,823</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09/05/2019</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5,000</w:t>
            </w:r>
            <w:r>
              <w:rPr>
                <w:vertAlign w:val="superscript"/>
              </w:rPr>
              <w:t xml:space="preserve">(5)</w:t>
            </w:r>
          </w:p>
        </w:tc>
        <w:tc>
          <w:tcPr>
            <w:tcW w:w="5000" w:type="pct"/>
            <w:noWrap/>
          </w:tcPr>
          <w:p>
            <w:pPr>
              <w:jc w:val="center"/>
            </w:pPr>
            <w:r>
              <w:rPr/>
              <w:t xml:space="preserve">A</w:t>
            </w:r>
          </w:p>
        </w:tc>
        <w:tc>
          <w:tcPr>
            <w:tcW w:w="5000" w:type="pct"/>
            <w:noWrap/>
          </w:tcPr>
          <w:p>
            <w:pPr>
              <w:jc w:val="center"/>
            </w:pPr>
            <w:r>
              <w:rPr/>
              <w:t xml:space="preserve">$</w:t>
            </w:r>
            <w:r>
              <w:rPr/>
              <w:t xml:space="preserve">4.5328</w:t>
            </w:r>
            <w:r>
              <w:rPr>
                <w:vertAlign w:val="superscript"/>
              </w:rPr>
              <w:t xml:space="preserve">(6)</w:t>
            </w:r>
          </w:p>
        </w:tc>
        <w:tc>
          <w:tcPr>
            <w:tcW w:w="5000" w:type="pct"/>
            <w:noWrap/>
          </w:tcPr>
          <w:p>
            <w:pPr>
              <w:jc w:val="center"/>
            </w:pPr>
            <w:r>
              <w:rPr/>
              <w:t xml:space="preserve">67,951,823</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Wisdom Starr</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44 WILSON STREET</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HARTSDALE</w:t>
                  </w:r>
                </w:p>
              </w:tc>
              <w:tc>
                <w:tcPr>
                  <w:tcW w:w="1650" w:type="pct"/>
                  <w:vAlign w:val="top"/>
                  <w:noWrap/>
                </w:tcPr>
                <w:p>
                  <w:pPr/>
                  <w:r>
                    <w:rPr/>
                    <w:t xml:space="preserve">NY</w:t>
                  </w:r>
                </w:p>
              </w:tc>
              <w:tc>
                <w:tcPr>
                  <w:tcW w:w="1650" w:type="pct"/>
                  <w:vAlign w:val="top"/>
                  <w:noWrap/>
                </w:tcPr>
                <w:p>
                  <w:pPr/>
                  <w:r>
                    <w:rPr/>
                    <w:t xml:space="preserve">10530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reported securities were purchased and are held directly by Glenn H. Nussdorf, who is a member of the Group (as defined below).</w:t>
            </w:r>
          </w:p>
        </w:tc>
      </w:tr>
      <w:tr>
        <w:trPr/>
        <w:tc>
          <w:tcPr>
            <w:tcW w:w="5000" w:type="pct"/>
            <w:noWrap/>
          </w:tcPr>
          <w:p>
            <w:pPr/>
            <w:r>
              <w:rPr/>
              <w:t xml:space="preserve">2. The price reported in Column 4 is a weighted-average price. These shares were purchased in multiple transactions at prices ranging from $4.28 to $4.48, inclusive. The reporting person undertakes to provide to Organogenesis Holdings Inc. ("ORGO"), any security holder of ORGO, or the staff of the Securities and Exchange Commission, upon request, full information regarding the number of shares purchased at each separate price within the ranges set forth in this footnote (2) to this Form 4.</w:t>
            </w:r>
          </w:p>
        </w:tc>
      </w:tr>
      <w:tr>
        <w:trPr/>
        <w:tc>
          <w:tcPr>
            <w:tcW w:w="5000" w:type="pct"/>
            <w:noWrap/>
          </w:tcPr>
          <w:p>
            <w:pPr/>
            <w:r>
              <w:rPr/>
              <w:t xml:space="preserve">3. The reported securities were purchased and are held directly by Dennis Erani, who is a member of the Group.</w:t>
            </w:r>
          </w:p>
        </w:tc>
      </w:tr>
      <w:tr>
        <w:trPr/>
        <w:tc>
          <w:tcPr>
            <w:tcW w:w="5000" w:type="pct"/>
            <w:noWrap/>
          </w:tcPr>
          <w:p>
            <w:pPr/>
            <w:r>
              <w:rPr/>
              <w:t xml:space="preserve">4. The price reported in Column 4 is a weighted-average price. These shares were purchased in multiple transactions at prices ranging from $4.37 to $4.92, inclusive. The reporting person undertakes to provide to ORGO, any security holder of ORGO, or the staff of the Securities and Exchange Commission, upon request, full information regarding the number of shares purchased at each separate price within the ranges set forth in this footnote (4) to this Form 4.</w:t>
            </w:r>
          </w:p>
        </w:tc>
      </w:tr>
      <w:tr>
        <w:trPr/>
        <w:tc>
          <w:tcPr>
            <w:tcW w:w="5000" w:type="pct"/>
            <w:noWrap/>
          </w:tcPr>
          <w:p>
            <w:pPr/>
            <w:r>
              <w:rPr/>
              <w:t xml:space="preserve">5. The reported securities were purchased and are held directly by Albert Erani, who is a member of the Group.</w:t>
            </w:r>
          </w:p>
        </w:tc>
      </w:tr>
      <w:tr>
        <w:trPr/>
        <w:tc>
          <w:tcPr>
            <w:tcW w:w="5000" w:type="pct"/>
            <w:noWrap/>
          </w:tcPr>
          <w:p>
            <w:pPr/>
            <w:r>
              <w:rPr/>
              <w:t xml:space="preserve">6. The price reported in Column 4 is a weighted-average price. These shares were purchased in multiple transactions at prices ranging from $4.52 to $4.55, inclusive. The reporting person undertakes to provide to ORGO, any security holder of ORGO, or the staff of the Securities and Exchange Commission, upon request, full information regarding the number of shares purchased at each separate price within the ranges set forth in this footnote (6) to this Form 4.</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"Controlling Entities", are parties to a Controlling Stockholders' Agreement dated December 10, 2018 with Organogenesis Holdings Inc. (the "Stockholders' Agreement").  The Stockholders' Agreement, among other things, provides for nomination rights of the Controlling Entities with respect to four directors of the Issuer and qualifies the Issuer as a "controlled company" under the Nasdaq listing rules. As a result of the Stockholders' Agreement, the reporting persons may be deemed to be members of a group (the "Group") holding over 10% of the outstanding shares of common stock of the issuer for purposes of Section 13(d) of the Securities Exchange Act of 1934, as amended.This is Form 4 No. 2 of 2 filed for the Controlling Entities.</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09/05/2019</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4191"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606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2026-08-07T12:19:40-04:00</dcterms:created>
  <dcterms:modified xsi:type="dcterms:W3CDTF">2026-08-07T12:19:40-04:00</dcterms:modified>
</cp:coreProperties>
</file>

<file path=docProps/custom.xml><?xml version="1.0" encoding="utf-8"?>
<Properties xmlns="http://schemas.openxmlformats.org/officeDocument/2006/custom-properties" xmlns:vt="http://schemas.openxmlformats.org/officeDocument/2006/docPropsVTypes"/>
</file>