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11/17/2020</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11/17/2020</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486,000</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3.25</w:t>
            </w:r>
          </w:p>
        </w:tc>
        <w:tc>
          <w:tcPr>
            <w:tcW w:w="5000" w:type="pct"/>
            <w:noWrap/>
          </w:tcPr>
          <w:p>
            <w:pPr>
              <w:jc w:val="center"/>
            </w:pPr>
            <w:r>
              <w:rPr/>
              <w:t xml:space="preserve">68,447,823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11/17/2020</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347,153</w:t>
            </w:r>
            <w:r>
              <w:rPr>
                <w:vertAlign w:val="superscript"/>
              </w:rPr>
              <w:t xml:space="preserve">(2)</w:t>
            </w:r>
          </w:p>
        </w:tc>
        <w:tc>
          <w:tcPr>
            <w:tcW w:w="5000" w:type="pct"/>
            <w:noWrap/>
          </w:tcPr>
          <w:p>
            <w:pPr>
              <w:jc w:val="center"/>
            </w:pPr>
            <w:r>
              <w:rPr/>
              <w:t xml:space="preserve">A</w:t>
            </w:r>
          </w:p>
        </w:tc>
        <w:tc>
          <w:tcPr>
            <w:tcW w:w="5000" w:type="pct"/>
            <w:noWrap/>
          </w:tcPr>
          <w:p>
            <w:pPr>
              <w:jc w:val="center"/>
            </w:pPr>
            <w:r>
              <w:rPr/>
              <w:t xml:space="preserve">$</w:t>
            </w:r>
            <w:r>
              <w:rPr/>
              <w:t xml:space="preserve">3.25</w:t>
            </w:r>
          </w:p>
        </w:tc>
        <w:tc>
          <w:tcPr>
            <w:tcW w:w="5000" w:type="pct"/>
            <w:noWrap/>
          </w:tcPr>
          <w:p>
            <w:pPr>
              <w:jc w:val="center"/>
            </w:pPr>
            <w:r>
              <w:rPr/>
              <w:t xml:space="preserve">68,794,976</w:t>
            </w:r>
          </w:p>
        </w:tc>
        <w:tc>
          <w:tcPr>
            <w:tcW w:w="5000" w:type="pct"/>
            <w:noWrap/>
          </w:tcPr>
          <w:p>
            <w:pPr>
              <w:jc w:val="center"/>
            </w:pPr>
            <w:r>
              <w:rPr/>
              <w:t xml:space="preserve">I</w:t>
            </w:r>
          </w:p>
        </w:tc>
        <w:tc>
          <w:tcPr>
            <w:tcW w:w="5000" w:type="pct"/>
            <w:noWrap/>
          </w:tcPr>
          <w:p>
            <w:pPr>
              <w:jc w:val="start"/>
            </w:pPr>
            <w:r>
              <w:rPr/>
              <w:t xml:space="preserve">By Robert Harry Erani Frick Trust</w:t>
            </w: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reported securities were purchased and are held directly by Alan A. Ades, who is a member of the Group.</w:t>
            </w:r>
          </w:p>
        </w:tc>
      </w:tr>
      <w:tr>
        <w:trPr/>
        <w:tc>
          <w:tcPr>
            <w:tcW w:w="5000" w:type="pct"/>
            <w:noWrap/>
          </w:tcPr>
          <w:p>
            <w:pPr/>
            <w:r>
              <w:rPr/>
              <w:t xml:space="preserve">2. The reported securities were purchased by the Robert Harry Erani Frick Trust (the "Trust") and are held indirectly by Dennis Erani, who is a member of the Group. Susan Erani, Dennis Erani's spouse, and Glenn Nussdorf are co-trustees of the Trust. Dennis Erani disclaims beneficial ownership of the securities held by the Trust, except to the extent of his pecuniary interest therein.</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"Controlling Entities", are parties to a Controlling Stockholders' Agreement dated December 10, 2018 with Organogenesis Holdings Inc. (the "Stockholders' Agreement").  The Stockholders' Agreement, among other things, provides for nomination rights of the Controlling Entities with respect to four directors of the Issuer and qualifies the Issuer as a "controlled company" under the Nasdaq listing rules. As a result of the Stockholders' Agreement, the reporting persons may be deemed to be members of a group (the "Group") holding over 10% of the outstanding shares of common stock of the issuer for purposes of Section 13(d) of the Securities Exchange Act of 1934, as amended.This is Form 4 No. 2 of 2 filed for the Controlling Entities.</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11/19/2020</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4191"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2026-08-07T12:19:15-04:00</dcterms:created>
  <dcterms:modified xsi:type="dcterms:W3CDTF">2026-08-07T12:19:15-04:00</dcterms:modified>
</cp:coreProperties>
</file>

<file path=docProps/custom.xml><?xml version="1.0" encoding="utf-8"?>
<Properties xmlns="http://schemas.openxmlformats.org/officeDocument/2006/custom-properties" xmlns:vt="http://schemas.openxmlformats.org/officeDocument/2006/docPropsVTypes"/>
</file>