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51,626</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245,845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02/17/2021</w:t>
            </w:r>
          </w:p>
        </w:tc>
        <w:tc>
          <w:tcPr>
            <w:tcW w:w="5000" w:type="pct"/>
            <w:noWrap/>
          </w:tcPr>
          <w:p>
            <w:pPr>
              <w:jc w:val="center"/>
            </w:pPr>
          </w:p>
        </w:tc>
        <w:tc>
          <w:tcPr>
            <w:tcW w:w="5000" w:type="pct"/>
            <w:noWrap/>
          </w:tcPr>
          <w:p>
            <w:pPr>
              <w:jc w:val="center"/>
            </w:pPr>
            <w:r>
              <w:rPr/>
              <w:t xml:space="preserve">S</w:t>
            </w:r>
            <w:r>
              <w:rPr>
                <w:vertAlign w:val="superscript"/>
              </w:rPr>
              <w:t xml:space="preserve">(2)</w:t>
            </w:r>
          </w:p>
        </w:tc>
        <w:tc>
          <w:tcPr>
            <w:tcW w:w="5000" w:type="pct"/>
            <w:noWrap/>
          </w:tcPr>
          <w:p>
            <w:pPr>
              <w:jc w:val="center"/>
            </w:pPr>
          </w:p>
        </w:tc>
        <w:tc>
          <w:tcPr>
            <w:tcW w:w="5000" w:type="pct"/>
            <w:noWrap/>
          </w:tcPr>
          <w:p>
            <w:pPr>
              <w:jc w:val="center"/>
            </w:pPr>
            <w:r>
              <w:rPr/>
              <w:t xml:space="preserve">78,201</w:t>
            </w:r>
          </w:p>
        </w:tc>
        <w:tc>
          <w:tcPr>
            <w:tcW w:w="5000" w:type="pct"/>
            <w:noWrap/>
          </w:tcPr>
          <w:p>
            <w:pPr>
              <w:jc w:val="center"/>
            </w:pPr>
            <w:r>
              <w:rPr/>
              <w:t xml:space="preserve">D</w:t>
            </w:r>
          </w:p>
        </w:tc>
        <w:tc>
          <w:tcPr>
            <w:tcW w:w="5000" w:type="pct"/>
            <w:noWrap/>
          </w:tcPr>
          <w:p>
            <w:pPr>
              <w:jc w:val="center"/>
            </w:pPr>
            <w:r>
              <w:rPr/>
              <w:t xml:space="preserve">$</w:t>
            </w:r>
            <w:r>
              <w:rPr/>
              <w:t xml:space="preserve">13.3</w:t>
            </w:r>
            <w:r>
              <w:rPr>
                <w:vertAlign w:val="superscript"/>
              </w:rPr>
              <w:t xml:space="preserve">(3)</w:t>
            </w:r>
          </w:p>
        </w:tc>
        <w:tc>
          <w:tcPr>
            <w:tcW w:w="5000" w:type="pct"/>
            <w:noWrap/>
          </w:tcPr>
          <w:p>
            <w:pPr>
              <w:jc w:val="center"/>
            </w:pPr>
            <w:r>
              <w:rPr/>
              <w:t xml:space="preserve">167,644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02/17/2021</w:t>
            </w:r>
          </w:p>
        </w:tc>
        <w:tc>
          <w:tcPr>
            <w:tcW w:w="5000" w:type="pct"/>
            <w:noWrap/>
          </w:tcPr>
          <w:p>
            <w:pPr>
              <w:jc w:val="center"/>
            </w:pPr>
          </w:p>
        </w:tc>
        <w:tc>
          <w:tcPr>
            <w:tcW w:w="5000" w:type="pct"/>
            <w:noWrap/>
          </w:tcPr>
          <w:p>
            <w:pPr>
              <w:jc w:val="center"/>
            </w:pPr>
            <w:r>
              <w:rPr/>
              <w:t xml:space="preserve">S</w:t>
            </w:r>
            <w:r>
              <w:rPr>
                <w:vertAlign w:val="superscript"/>
              </w:rPr>
              <w:t xml:space="preserve">(2)</w:t>
            </w:r>
          </w:p>
        </w:tc>
        <w:tc>
          <w:tcPr>
            <w:tcW w:w="5000" w:type="pct"/>
            <w:noWrap/>
          </w:tcPr>
          <w:p>
            <w:pPr>
              <w:jc w:val="center"/>
            </w:pPr>
          </w:p>
        </w:tc>
        <w:tc>
          <w:tcPr>
            <w:tcW w:w="5000" w:type="pct"/>
            <w:noWrap/>
          </w:tcPr>
          <w:p>
            <w:pPr>
              <w:jc w:val="center"/>
            </w:pPr>
            <w:r>
              <w:rPr/>
              <w:t xml:space="preserve">11,174</w:t>
            </w:r>
          </w:p>
        </w:tc>
        <w:tc>
          <w:tcPr>
            <w:tcW w:w="5000" w:type="pct"/>
            <w:noWrap/>
          </w:tcPr>
          <w:p>
            <w:pPr>
              <w:jc w:val="center"/>
            </w:pPr>
            <w:r>
              <w:rPr/>
              <w:t xml:space="preserve">D</w:t>
            </w:r>
          </w:p>
        </w:tc>
        <w:tc>
          <w:tcPr>
            <w:tcW w:w="5000" w:type="pct"/>
            <w:noWrap/>
          </w:tcPr>
          <w:p>
            <w:pPr>
              <w:jc w:val="center"/>
            </w:pPr>
            <w:r>
              <w:rPr/>
              <w:t xml:space="preserve">$</w:t>
            </w:r>
            <w:r>
              <w:rPr/>
              <w:t xml:space="preserve">13.82</w:t>
            </w:r>
            <w:r>
              <w:rPr>
                <w:vertAlign w:val="superscript"/>
              </w:rPr>
              <w:t xml:space="preserve">(4)</w:t>
            </w:r>
          </w:p>
        </w:tc>
        <w:tc>
          <w:tcPr>
            <w:tcW w:w="5000" w:type="pct"/>
            <w:noWrap/>
          </w:tcPr>
          <w:p>
            <w:pPr>
              <w:jc w:val="center"/>
            </w:pPr>
            <w:r>
              <w:rPr/>
              <w:t xml:space="preserve">156,470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02/18/2021</w:t>
            </w:r>
          </w:p>
        </w:tc>
        <w:tc>
          <w:tcPr>
            <w:tcW w:w="5000" w:type="pct"/>
            <w:noWrap/>
          </w:tcPr>
          <w:p>
            <w:pPr>
              <w:jc w:val="center"/>
            </w:pPr>
          </w:p>
        </w:tc>
        <w:tc>
          <w:tcPr>
            <w:tcW w:w="5000" w:type="pct"/>
            <w:noWrap/>
          </w:tcPr>
          <w:p>
            <w:pPr>
              <w:jc w:val="center"/>
            </w:pPr>
            <w:r>
              <w:rPr/>
              <w:t xml:space="preserve">S</w:t>
            </w:r>
            <w:r>
              <w:rPr>
                <w:vertAlign w:val="superscript"/>
              </w:rPr>
              <w:t xml:space="preserve">(2)</w:t>
            </w:r>
          </w:p>
        </w:tc>
        <w:tc>
          <w:tcPr>
            <w:tcW w:w="5000" w:type="pct"/>
            <w:noWrap/>
          </w:tcPr>
          <w:p>
            <w:pPr>
              <w:jc w:val="center"/>
            </w:pPr>
          </w:p>
        </w:tc>
        <w:tc>
          <w:tcPr>
            <w:tcW w:w="5000" w:type="pct"/>
            <w:noWrap/>
          </w:tcPr>
          <w:p>
            <w:pPr>
              <w:jc w:val="center"/>
            </w:pPr>
            <w:r>
              <w:rPr/>
              <w:t xml:space="preserve">16,663</w:t>
            </w:r>
          </w:p>
        </w:tc>
        <w:tc>
          <w:tcPr>
            <w:tcW w:w="5000" w:type="pct"/>
            <w:noWrap/>
          </w:tcPr>
          <w:p>
            <w:pPr>
              <w:jc w:val="center"/>
            </w:pPr>
            <w:r>
              <w:rPr/>
              <w:t xml:space="preserve">D</w:t>
            </w:r>
          </w:p>
        </w:tc>
        <w:tc>
          <w:tcPr>
            <w:tcW w:w="5000" w:type="pct"/>
            <w:noWrap/>
          </w:tcPr>
          <w:p>
            <w:pPr>
              <w:jc w:val="center"/>
            </w:pPr>
            <w:r>
              <w:rPr/>
              <w:t xml:space="preserve">$</w:t>
            </w:r>
            <w:r>
              <w:rPr/>
              <w:t xml:space="preserve">12.85</w:t>
            </w:r>
            <w:r>
              <w:rPr>
                <w:vertAlign w:val="superscript"/>
              </w:rPr>
              <w:t xml:space="preserve">(5)</w:t>
            </w:r>
          </w:p>
        </w:tc>
        <w:tc>
          <w:tcPr>
            <w:tcW w:w="5000" w:type="pct"/>
            <w:noWrap/>
          </w:tcPr>
          <w:p>
            <w:pPr>
              <w:jc w:val="center"/>
            </w:pPr>
            <w:r>
              <w:rPr/>
              <w:t xml:space="preserve">139,807</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13.68</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395,289</w:t>
            </w:r>
          </w:p>
        </w:tc>
        <w:tc>
          <w:tcPr>
            <w:tcW w:w="5000" w:type="pct"/>
            <w:noWrap/>
          </w:tcPr>
          <w:p>
            <w:pPr>
              <w:jc w:val="center"/>
            </w:pP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02/16/2031</w:t>
            </w:r>
          </w:p>
        </w:tc>
        <w:tc>
          <w:tcPr>
            <w:tcW w:w="5000" w:type="pct"/>
            <w:noWrap/>
          </w:tcPr>
          <w:p>
            <w:pPr>
              <w:jc w:val="center"/>
            </w:pPr>
            <w:r>
              <w:rPr/>
              <w:t xml:space="preserve">Class A Common Stock</w:t>
            </w:r>
          </w:p>
        </w:tc>
        <w:tc>
          <w:tcPr>
            <w:tcW w:w="5000" w:type="pct"/>
            <w:noWrap/>
          </w:tcPr>
          <w:p>
            <w:pPr>
              <w:jc w:val="center"/>
            </w:pPr>
            <w:r>
              <w:rPr/>
              <w:t xml:space="preserve">395,289</w:t>
            </w:r>
          </w:p>
        </w:tc>
        <w:tc>
          <w:tcPr>
            <w:tcW w:w="5000" w:type="pct"/>
            <w:noWrap/>
          </w:tcPr>
          <w:p>
            <w:pPr>
              <w:jc w:val="center"/>
            </w:pPr>
            <w:r>
              <w:rPr/>
              <w:t xml:space="preserve">$</w:t>
            </w:r>
            <w:r>
              <w:rPr/>
              <w:t xml:space="preserve">0</w:t>
            </w:r>
          </w:p>
        </w:tc>
        <w:tc>
          <w:tcPr>
            <w:tcW w:w="5000" w:type="pct"/>
            <w:noWrap/>
          </w:tcPr>
          <w:p>
            <w:pPr>
              <w:jc w:val="center"/>
            </w:pPr>
            <w:r>
              <w:rPr/>
              <w:t xml:space="preserve">395,289</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16, 2021.</w:t>
            </w:r>
          </w:p>
        </w:tc>
      </w:tr>
      <w:tr>
        <w:trPr/>
        <w:tc>
          <w:tcPr>
            <w:tcW w:w="5000" w:type="pct"/>
            <w:noWrap/>
          </w:tcPr>
          <w:p>
            <w:pPr/>
            <w:r>
              <w:rPr/>
              <w:t xml:space="preserve">2. The sales reported in this Form 4 were effected pursuant to a Rule 10b5-1 trading plan adopted by the reporting person in August 2020.</w:t>
            </w:r>
          </w:p>
        </w:tc>
      </w:tr>
      <w:tr>
        <w:trPr/>
        <w:tc>
          <w:tcPr>
            <w:tcW w:w="5000" w:type="pct"/>
            <w:noWrap/>
          </w:tcPr>
          <w:p>
            <w:pPr/>
            <w:r>
              <w:rPr/>
              <w:t xml:space="preserve">3. The price reported in Column 4 is a weighted-average price. These shares were sold in multiple transactions at prices ranging from $12.76 to $13.75,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$13.76 to $13.90,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
            </w:r>
          </w:p>
        </w:tc>
      </w:tr>
      <w:tr>
        <w:trPr/>
        <w:tc>
          <w:tcPr>
            <w:tcW w:w="5000" w:type="pct"/>
            <w:noWrap/>
          </w:tcPr>
          <w:p>
            <w:pPr/>
            <w:r>
              <w:rPr/>
              <w:t xml:space="preserve">5. The price reported in Column 4 is a weighted-average price. These shares were sold in multiple transactions at prices ranging from $12.62 to $13.265,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(5) to this Form 4.</w:t>
            </w:r>
          </w:p>
        </w:tc>
      </w:tr>
      <w:tr>
        <w:trPr/>
        <w:tc>
          <w:tcPr>
            <w:tcW w:w="5000" w:type="pct"/>
            <w:noWrap/>
          </w:tcPr>
          <w:p>
            <w:pPr/>
            <w:r>
              <w:rPr/>
              <w:t xml:space="preserve">6. The option becomes exercisable in equal annual installments over four years beginning February 16, 2021.</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2026-08-07T12:19:07-04:00</dcterms:created>
  <dcterms:modified xsi:type="dcterms:W3CDTF">2026-08-07T12:19:07-04:00</dcterms:modified>
</cp:coreProperties>
</file>

<file path=docProps/custom.xml><?xml version="1.0" encoding="utf-8"?>
<Properties xmlns="http://schemas.openxmlformats.org/officeDocument/2006/custom-properties" xmlns:vt="http://schemas.openxmlformats.org/officeDocument/2006/docPropsVTypes"/>
</file>