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05/27/2021</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05/27/2021</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3,887,500</w:t>
            </w:r>
            <w:r>
              <w:rPr>
                <w:vertAlign w:val="superscript"/>
              </w:rPr>
              <w:t xml:space="preserve">(1)</w:t>
            </w:r>
          </w:p>
        </w:tc>
        <w:tc>
          <w:tcPr>
            <w:tcW w:w="5000" w:type="pct"/>
            <w:noWrap/>
          </w:tcPr>
          <w:p>
            <w:pPr>
              <w:jc w:val="center"/>
            </w:pPr>
            <w:r>
              <w:rPr/>
              <w:t xml:space="preserve">D</w:t>
            </w:r>
          </w:p>
        </w:tc>
        <w:tc>
          <w:tcPr>
            <w:tcW w:w="5000" w:type="pct"/>
            <w:noWrap/>
          </w:tcPr>
          <w:p>
            <w:pPr>
              <w:jc w:val="center"/>
            </w:pPr>
            <w:r>
              <w:rPr/>
              <w:t xml:space="preserve">$</w:t>
            </w:r>
            <w:r>
              <w:rPr/>
              <w:t xml:space="preserve">16.4</w:t>
            </w:r>
            <w:r>
              <w:rPr>
                <w:vertAlign w:val="superscript"/>
              </w:rPr>
              <w:t xml:space="preserve">(2)</w:t>
            </w:r>
          </w:p>
        </w:tc>
        <w:tc>
          <w:tcPr>
            <w:tcW w:w="5000" w:type="pct"/>
            <w:noWrap/>
          </w:tcPr>
          <w:p>
            <w:pPr>
              <w:jc w:val="center"/>
            </w:pPr>
            <w:r>
              <w:rPr/>
              <w:t xml:space="preserve">59,836,745</w:t>
            </w:r>
            <w:r>
              <w:rPr>
                <w:vertAlign w:val="superscript"/>
              </w:rPr>
              <w:t xml:space="preserve">(3)</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Wisdom Starr</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44 WILSON STREET</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HARTSDALE</w:t>
                  </w:r>
                </w:p>
              </w:tc>
              <w:tc>
                <w:tcPr>
                  <w:tcW w:w="1650" w:type="pct"/>
                  <w:vAlign w:val="top"/>
                  <w:noWrap/>
                </w:tcPr>
                <w:p>
                  <w:pPr/>
                  <w:r>
                    <w:rPr/>
                    <w:t xml:space="preserve">NY</w:t>
                  </w:r>
                </w:p>
              </w:tc>
              <w:tc>
                <w:tcPr>
                  <w:tcW w:w="1650" w:type="pct"/>
                  <w:vAlign w:val="top"/>
                  <w:noWrap/>
                </w:tcPr>
                <w:p>
                  <w:pPr/>
                  <w:r>
                    <w:rPr/>
                    <w:t xml:space="preserve">10530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reported securities sold were held directly by the Alan Ades 2014 GRAT, which is a member of the Group (as defined below). None of the members of the Group has a pecuniary interest in the securities sold other than Alan A. Ades and the Alan Ades 2014 GRAT.</w:t>
            </w:r>
          </w:p>
        </w:tc>
      </w:tr>
      <w:tr>
        <w:trPr/>
        <w:tc>
          <w:tcPr>
            <w:tcW w:w="5000" w:type="pct"/>
            <w:noWrap/>
          </w:tcPr>
          <w:p>
            <w:pPr/>
            <w:r>
              <w:rPr/>
              <w:t xml:space="preserve">2. The sale was executed in a single block trade at $16.40 per share.</w:t>
            </w:r>
          </w:p>
        </w:tc>
      </w:tr>
      <w:tr>
        <w:trPr/>
        <w:tc>
          <w:tcPr>
            <w:tcW w:w="5000" w:type="pct"/>
            <w:noWrap/>
          </w:tcPr>
          <w:p>
            <w:pPr/>
            <w:r>
              <w:rPr/>
              <w:t xml:space="preserve">3. Reflects the total number of securities held by the Group.</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and GN 2016 Organo 10-Year GRAT u/a/d September 30, 2016, referred to collectively as the "Group", are parties to a Controlling Stockholders' Agreement dated December 10, 2018 with Organogenesis Holdings Inc. (the "Stockholders' Agreement").  The Stockholders' Agreement, among other things, provides for nomination rights of the Group with respect to four directors of the Issuer. As a result of the Stockholders' Agreement, the reporting persons may be deemed to be members of a group holding over 10% of the outstanding shares of common stock of the issuer for purposes of Section 13(d) of the Securities Exchange Act of 1934, as amended.This is Form 4 No. 2 of 2 filed for the Group.</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05/28/2021</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244191"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7606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2026-08-07T12:18:56-04:00</dcterms:created>
  <dcterms:modified xsi:type="dcterms:W3CDTF">2026-08-07T12:18:56-04:00</dcterms:modified>
</cp:coreProperties>
</file>

<file path=docProps/custom.xml><?xml version="1.0" encoding="utf-8"?>
<Properties xmlns="http://schemas.openxmlformats.org/officeDocument/2006/custom-properties" xmlns:vt="http://schemas.openxmlformats.org/officeDocument/2006/docPropsVTypes"/>
</file>