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06/09/2021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06/09/2021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150,000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15.31</w:t></w:r><w:r><w:rPr><w:vertAlign w:val="superscript"/></w:rPr><w:t xml:space="preserve">(2)</w:t></w:r></w:p></w:tc><w:tc><w:tcPr><w:tcW w:w="5000" w:type="pct"/><w:noWrap/></w:tcPr><w:p><w:pPr><w:jc w:val="center"/></w:pPr><w:r><w:rPr/><w:t xml:space="preserve">59,432,133</w:t></w:r><w:r><w:rPr><w:vertAlign w:val="superscript"/></w:rPr><w:t xml:space="preserve">(3)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Wisdom Starr</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44 WILSON STREET</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HARTSDALE</w:t></w:r></w:p></w:tc><w:tc><w:tcPr><w:tcW w:w="1650" w:type="pct"/><w:vAlign w:val="top"/><w:noWrap/></w:tcPr><w:p><w:pPr/><w:r><w:rPr/><w:t xml:space="preserve">NY</w:t></w:r></w:p></w:tc><w:tc><w:tcPr><w:tcW w:w="1650" w:type="pct"/><w:vAlign w:val="top"/><w:noWrap/></w:tcPr><w:p><w:pPr/><w:r><w:rPr/><w:t xml:space="preserve">10530</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sold were held directly by Albert Erani, who is a member of the Group (as defined below). None of the members of the Group has a pecuniary interest in the securities sold other than Albert Erani.</w:t></w:r></w:p></w:tc></w:tr><w:tr><w:trPr/><w:tc><w:tcPr><w:tcW w:w="5000" w:type="pct"/><w:noWrap/></w:tcPr><w:p><w:pPr/><w:r><w:rPr/><w:t xml:space="preserve">2. The price reported in Column 4 is a weighted-average price. These shares were sold in multiple transactions at prices ranging from $15.00 to $15.63,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w:r></w:p></w:tc></w:tr><w:tr><w:trPr/><w:tc><w:tcPr><w:tcW w:w="5000" w:type="pct"/><w:noWrap/></w:tcPr><w:p><w:pPr/><w:r><w:rPr/><w:t xml:space="preserve">3. Reflects the total number of securities held by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06/10/2021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2026-08-07T12:18:55-04:00</dcterms:created>
  <dcterms:modified xsi:type="dcterms:W3CDTF">2026-08-07T12:18:55-04:00</dcterms:modified>
</cp:coreProperties>
</file>

<file path=docProps/custom.xml><?xml version="1.0" encoding="utf-8"?>
<Properties xmlns="http://schemas.openxmlformats.org/officeDocument/2006/custom-properties" xmlns:vt="http://schemas.openxmlformats.org/officeDocument/2006/docPropsVTypes"/>
</file>