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07/16/2021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07/16/2021</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24,313</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156,230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07/16/2021</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115,450</w:t>
            </w:r>
          </w:p>
        </w:tc>
        <w:tc>
          <w:tcPr>
            <w:tcW w:w="5000" w:type="pct"/>
            <w:noWrap/>
          </w:tcPr>
          <w:p>
            <w:pPr>
              <w:jc w:val="center"/>
            </w:pPr>
            <w:r>
              <w:rPr/>
              <w:t xml:space="preserve">A</w:t>
            </w:r>
          </w:p>
        </w:tc>
        <w:tc>
          <w:tcPr>
            <w:tcW w:w="5000" w:type="pct"/>
            <w:noWrap/>
          </w:tcPr>
          <w:p>
            <w:pPr>
              <w:jc w:val="center"/>
            </w:pPr>
            <w:r>
              <w:rPr/>
              <w:t xml:space="preserve">$</w:t>
            </w:r>
            <w:r>
              <w:rPr/>
              <w:t xml:space="preserve">4.04</w:t>
            </w:r>
          </w:p>
        </w:tc>
        <w:tc>
          <w:tcPr>
            <w:tcW w:w="5000" w:type="pct"/>
            <w:noWrap/>
          </w:tcPr>
          <w:p>
            <w:pPr>
              <w:jc w:val="center"/>
            </w:pPr>
            <w:r>
              <w:rPr/>
              <w:t xml:space="preserve">271,680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07/16/2021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110,329</w:t>
            </w:r>
          </w:p>
        </w:tc>
        <w:tc>
          <w:tcPr>
            <w:tcW w:w="5000" w:type="pct"/>
            <w:noWrap/>
          </w:tcPr>
          <w:p>
            <w:pPr>
              <w:jc w:val="center"/>
            </w:pPr>
            <w:r>
              <w:rPr/>
              <w:t xml:space="preserve">D</w:t>
            </w:r>
          </w:p>
        </w:tc>
        <w:tc>
          <w:tcPr>
            <w:tcW w:w="5000" w:type="pct"/>
            <w:noWrap/>
          </w:tcPr>
          <w:p>
            <w:pPr>
              <w:jc w:val="center"/>
            </w:pPr>
            <w:r>
              <w:rPr/>
              <w:t xml:space="preserve">$</w:t>
            </w:r>
            <w:r>
              <w:rPr/>
              <w:t xml:space="preserve">14.58</w:t>
            </w:r>
            <w:r>
              <w:rPr>
                <w:vertAlign w:val="superscript"/>
              </w:rPr>
              <w:t xml:space="preserve">(2)</w:t>
            </w:r>
          </w:p>
        </w:tc>
        <w:tc>
          <w:tcPr>
            <w:tcW w:w="5000" w:type="pct"/>
            <w:noWrap/>
          </w:tcPr>
          <w:p>
            <w:pPr>
              <w:jc w:val="center"/>
            </w:pPr>
            <w:r>
              <w:rPr/>
              <w:t xml:space="preserve">161,351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07/16/2021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29,434</w:t>
            </w:r>
          </w:p>
        </w:tc>
        <w:tc>
          <w:tcPr>
            <w:tcW w:w="5000" w:type="pct"/>
            <w:noWrap/>
          </w:tcPr>
          <w:p>
            <w:pPr>
              <w:jc w:val="center"/>
            </w:pPr>
            <w:r>
              <w:rPr/>
              <w:t xml:space="preserve">D</w:t>
            </w:r>
          </w:p>
        </w:tc>
        <w:tc>
          <w:tcPr>
            <w:tcW w:w="5000" w:type="pct"/>
            <w:noWrap/>
          </w:tcPr>
          <w:p>
            <w:pPr>
              <w:jc w:val="center"/>
            </w:pPr>
            <w:r>
              <w:rPr/>
              <w:t xml:space="preserve">$</w:t>
            </w:r>
            <w:r>
              <w:rPr/>
              <w:t xml:space="preserve">15.33</w:t>
            </w:r>
            <w:r>
              <w:rPr>
                <w:vertAlign w:val="superscript"/>
              </w:rPr>
              <w:t xml:space="preserve">(3)</w:t>
            </w:r>
          </w:p>
        </w:tc>
        <w:tc>
          <w:tcPr>
            <w:tcW w:w="5000" w:type="pct"/>
            <w:noWrap/>
          </w:tcPr>
          <w:p>
            <w:pPr>
              <w:jc w:val="center"/>
            </w:pPr>
            <w:r>
              <w:rPr/>
              <w:t xml:space="preserve">131,917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07/19/2021</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160,237</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292,154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07/19/2021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160,237</w:t>
            </w:r>
          </w:p>
        </w:tc>
        <w:tc>
          <w:tcPr>
            <w:tcW w:w="5000" w:type="pct"/>
            <w:noWrap/>
          </w:tcPr>
          <w:p>
            <w:pPr>
              <w:jc w:val="center"/>
            </w:pPr>
            <w:r>
              <w:rPr/>
              <w:t xml:space="preserve">D</w:t>
            </w:r>
          </w:p>
        </w:tc>
        <w:tc>
          <w:tcPr>
            <w:tcW w:w="5000" w:type="pct"/>
            <w:noWrap/>
          </w:tcPr>
          <w:p>
            <w:pPr>
              <w:jc w:val="center"/>
            </w:pPr>
            <w:r>
              <w:rPr/>
              <w:t xml:space="preserve">$</w:t>
            </w:r>
            <w:r>
              <w:rPr/>
              <w:t xml:space="preserve">14.02</w:t>
            </w:r>
            <w:r>
              <w:rPr>
                <w:vertAlign w:val="superscript"/>
              </w:rPr>
              <w:t xml:space="preserve">(4)</w:t>
            </w:r>
          </w:p>
        </w:tc>
        <w:tc>
          <w:tcPr>
            <w:tcW w:w="5000" w:type="pct"/>
            <w:noWrap/>
          </w:tcPr>
          <w:p>
            <w:pPr>
              <w:jc w:val="center"/>
            </w:pPr>
            <w:r>
              <w:rPr/>
              <w:t xml:space="preserve">131,917</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07/16/2021</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24,313</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07/25/2023</w:t>
            </w:r>
          </w:p>
        </w:tc>
        <w:tc>
          <w:tcPr>
            <w:tcW w:w="5000" w:type="pct"/>
            <w:noWrap/>
          </w:tcPr>
          <w:p>
            <w:pPr>
              <w:jc w:val="center"/>
            </w:pPr>
            <w:r>
              <w:rPr/>
              <w:t xml:space="preserve">Class A Common Stock</w:t>
            </w:r>
          </w:p>
        </w:tc>
        <w:tc>
          <w:tcPr>
            <w:tcW w:w="5000" w:type="pct"/>
            <w:noWrap/>
          </w:tcPr>
          <w:p>
            <w:pPr>
              <w:jc w:val="center"/>
            </w:pPr>
            <w:r>
              <w:rPr/>
              <w:t xml:space="preserve">24,313</w:t>
            </w:r>
          </w:p>
        </w:tc>
        <w:tc>
          <w:tcPr>
            <w:tcW w:w="5000" w:type="pct"/>
            <w:noWrap/>
          </w:tcPr>
          <w:p>
            <w:pPr>
              <w:jc w:val="center"/>
            </w:pPr>
            <w:r>
              <w:rPr/>
              <w:t xml:space="preserve">$</w:t>
            </w:r>
            <w:r>
              <w:rPr/>
              <w:t xml:space="preserve">0.0</w:t>
            </w:r>
          </w:p>
        </w:tc>
        <w:tc>
          <w:tcPr>
            <w:tcW w:w="5000" w:type="pct"/>
            <w:noWrap/>
          </w:tcPr>
          <w:p>
            <w:pPr>
              <w:jc w:val="center"/>
            </w:pPr>
            <w:r>
              <w:rPr/>
              <w:t xml:space="preserve">680,097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4.04</w:t>
            </w:r>
          </w:p>
        </w:tc>
        <w:tc>
          <w:tcPr>
            <w:tcW w:w="5000" w:type="pct"/>
            <w:noWrap/>
          </w:tcPr>
          <w:p>
            <w:pPr>
              <w:jc w:val="center"/>
            </w:pPr>
            <w:r>
              <w:rPr/>
              <w:t xml:space="preserve">07/16/2021</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115,450</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04/22/2030</w:t>
            </w:r>
          </w:p>
        </w:tc>
        <w:tc>
          <w:tcPr>
            <w:tcW w:w="5000" w:type="pct"/>
            <w:noWrap/>
          </w:tcPr>
          <w:p>
            <w:pPr>
              <w:jc w:val="center"/>
            </w:pPr>
            <w:r>
              <w:rPr/>
              <w:t xml:space="preserve">Class A Common Stock</w:t>
            </w:r>
          </w:p>
        </w:tc>
        <w:tc>
          <w:tcPr>
            <w:tcW w:w="5000" w:type="pct"/>
            <w:noWrap/>
          </w:tcPr>
          <w:p>
            <w:pPr>
              <w:jc w:val="center"/>
            </w:pPr>
            <w:r>
              <w:rPr/>
              <w:t xml:space="preserve">115,450</w:t>
            </w:r>
          </w:p>
        </w:tc>
        <w:tc>
          <w:tcPr>
            <w:tcW w:w="5000" w:type="pct"/>
            <w:noWrap/>
          </w:tcPr>
          <w:p>
            <w:pPr>
              <w:jc w:val="center"/>
            </w:pPr>
            <w:r>
              <w:rPr/>
              <w:t xml:space="preserve">$</w:t>
            </w:r>
            <w:r>
              <w:rPr/>
              <w:t xml:space="preserve">0</w:t>
            </w:r>
          </w:p>
        </w:tc>
        <w:tc>
          <w:tcPr>
            <w:tcW w:w="5000" w:type="pct"/>
            <w:noWrap/>
          </w:tcPr>
          <w:p>
            <w:pPr>
              <w:jc w:val="center"/>
            </w:pPr>
            <w:r>
              <w:rPr/>
              <w:t xml:space="preserve">465,392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07/19/2021</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160,237</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07/25/2023</w:t>
            </w:r>
          </w:p>
        </w:tc>
        <w:tc>
          <w:tcPr>
            <w:tcW w:w="5000" w:type="pct"/>
            <w:noWrap/>
          </w:tcPr>
          <w:p>
            <w:pPr>
              <w:jc w:val="center"/>
            </w:pPr>
            <w:r>
              <w:rPr/>
              <w:t xml:space="preserve">Class A Common Stock</w:t>
            </w:r>
          </w:p>
        </w:tc>
        <w:tc>
          <w:tcPr>
            <w:tcW w:w="5000" w:type="pct"/>
            <w:noWrap/>
          </w:tcPr>
          <w:p>
            <w:pPr>
              <w:jc w:val="center"/>
            </w:pPr>
            <w:r>
              <w:rPr/>
              <w:t xml:space="preserve">160,237</w:t>
            </w:r>
          </w:p>
        </w:tc>
        <w:tc>
          <w:tcPr>
            <w:tcW w:w="5000" w:type="pct"/>
            <w:noWrap/>
          </w:tcPr>
          <w:p>
            <w:pPr>
              <w:jc w:val="center"/>
            </w:pPr>
            <w:r>
              <w:rPr/>
              <w:t xml:space="preserve">$</w:t>
            </w:r>
            <w:r>
              <w:rPr/>
              <w:t xml:space="preserve">0.0</w:t>
            </w:r>
          </w:p>
        </w:tc>
        <w:tc>
          <w:tcPr>
            <w:tcW w:w="5000" w:type="pct"/>
            <w:noWrap/>
          </w:tcPr>
          <w:p>
            <w:pPr>
              <w:jc w:val="center"/>
            </w:pPr>
            <w:r>
              <w:rPr/>
              <w:t xml:space="preserve">519,860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June 2021.</w:t>
            </w:r>
          </w:p>
        </w:tc>
      </w:tr>
      <w:tr>
        <w:trPr/>
        <w:tc>
          <w:tcPr>
            <w:tcW w:w="5000" w:type="pct"/>
            <w:noWrap/>
          </w:tcPr>
          <w:p>
            <w:pPr/>
            <w:r>
              <w:rPr/>
              <w:t xml:space="preserve">2. The price reported in Column 4 is a weighted-average price. These shares were sold in multiple transactions at prices ranging from $14.27 to $14.99,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$15.00 to $15.85,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$13.61 to $14.38,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100% of the shares subject to the option are fully vested and exercisable.</w:t>
            </w:r>
          </w:p>
        </w:tc>
      </w:tr>
      <w:tr>
        <w:trPr/>
        <w:tc>
          <w:tcPr>
            <w:tcW w:w="5000" w:type="pct"/>
            <w:noWrap/>
          </w:tcPr>
          <w:p>
            <w:pPr/>
            <w:r>
              <w:rPr/>
              <w:t xml:space="preserve">6. The option became and continues to become exercisable in equal annual installments over four years beginning April 1, 2020.</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07/20/2021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2026-08-07T12:18:54-04:00</dcterms:created>
  <dcterms:modified xsi:type="dcterms:W3CDTF">2026-08-07T12:18:54-04:00</dcterms:modified>
</cp:coreProperties>
</file>

<file path=docProps/custom.xml><?xml version="1.0" encoding="utf-8"?>
<Properties xmlns="http://schemas.openxmlformats.org/officeDocument/2006/custom-properties" xmlns:vt="http://schemas.openxmlformats.org/officeDocument/2006/docPropsVTypes"/>
</file>