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05/14/2025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05/14/2025</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251,001</w:t>
            </w:r>
          </w:p>
        </w:tc>
        <w:tc>
          <w:tcPr>
            <w:tcW w:w="5000" w:type="pct"/>
            <w:noWrap/>
          </w:tcPr>
          <w:p>
            <w:pPr>
              <w:jc w:val="center"/>
            </w:pPr>
            <w:r>
              <w:rPr/>
              <w:t xml:space="preserve">A</w:t>
            </w:r>
          </w:p>
        </w:tc>
        <w:tc>
          <w:tcPr>
            <w:tcW w:w="5000" w:type="pct"/>
            <w:noWrap/>
          </w:tcPr>
          <w:p>
            <w:pPr>
              <w:jc w:val="center"/>
            </w:pPr>
            <w:r>
              <w:rPr/>
              <w:t xml:space="preserve">$</w:t>
            </w:r>
            <w:r>
              <w:rPr/>
              <w:t xml:space="preserve">3.0878</w:t>
            </w:r>
            <w:r>
              <w:rPr>
                <w:vertAlign w:val="superscript"/>
              </w:rPr>
              <w:t xml:space="preserve">(1)</w:t>
            </w:r>
          </w:p>
        </w:tc>
        <w:tc>
          <w:tcPr>
            <w:tcW w:w="5000" w:type="pct"/>
            <w:noWrap/>
          </w:tcPr>
          <w:p>
            <w:pPr>
              <w:jc w:val="center"/>
            </w:pPr>
            <w:r>
              <w:rPr/>
              <w:t xml:space="preserve">251,001</w:t>
            </w:r>
          </w:p>
        </w:tc>
        <w:tc>
          <w:tcPr>
            <w:tcW w:w="5000" w:type="pct"/>
            <w:noWrap/>
          </w:tcPr>
          <w:p>
            <w:pPr>
              <w:jc w:val="center"/>
            </w:pPr>
            <w:r>
              <w:rPr/>
              <w:t xml:space="preserve">I</w:t>
            </w:r>
          </w:p>
        </w:tc>
        <w:tc>
          <w:tcPr>
            <w:tcW w:w="5000" w:type="pct"/>
            <w:noWrap/>
          </w:tcPr>
          <w:p>
            <w:pPr>
              <w:jc w:val="start"/>
            </w:pPr>
            <w:r>
              <w:rPr/>
              <w:t xml:space="preserve">By Glenn Nussdorf 10 Year Follow On Trust Dated 11-1-1998</w:t>
            </w:r>
          </w:p>
        </w:tc>
      </w:tr>
      <w:tr>
        <w:trPr/>
        <w:tc>
          <w:tcPr>
            <w:tcW w:w="5000" w:type="pct"/>
            <w:noWrap/>
          </w:tcPr>
          <w:p>
            <w:pPr>
              <w:jc w:val="start"/>
            </w:pPr>
            <w:r>
              <w:rPr/>
              <w:t xml:space="preserve">Class A Common Stock</w:t>
            </w:r>
          </w:p>
        </w:tc>
        <w:tc>
          <w:tcPr>
            <w:tcW w:w="5000" w:type="pct"/>
            <w:noWrap/>
          </w:tcPr>
          <w:p>
            <w:pPr>
              <w:jc w:val="center"/>
            </w:pPr>
            <w:r>
              <w:rPr/>
              <w:t xml:space="preserve">05/15/2025</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107,494</w:t>
            </w:r>
          </w:p>
        </w:tc>
        <w:tc>
          <w:tcPr>
            <w:tcW w:w="5000" w:type="pct"/>
            <w:noWrap/>
          </w:tcPr>
          <w:p>
            <w:pPr>
              <w:jc w:val="center"/>
            </w:pPr>
            <w:r>
              <w:rPr/>
              <w:t xml:space="preserve">A</w:t>
            </w:r>
          </w:p>
        </w:tc>
        <w:tc>
          <w:tcPr>
            <w:tcW w:w="5000" w:type="pct"/>
            <w:noWrap/>
          </w:tcPr>
          <w:p>
            <w:pPr>
              <w:jc w:val="center"/>
            </w:pPr>
            <w:r>
              <w:rPr/>
              <w:t xml:space="preserve">$</w:t>
            </w:r>
            <w:r>
              <w:rPr/>
              <w:t xml:space="preserve">2.9862</w:t>
            </w:r>
            <w:r>
              <w:rPr>
                <w:vertAlign w:val="superscript"/>
              </w:rPr>
              <w:t xml:space="preserve">(2)</w:t>
            </w:r>
          </w:p>
        </w:tc>
        <w:tc>
          <w:tcPr>
            <w:tcW w:w="5000" w:type="pct"/>
            <w:noWrap/>
          </w:tcPr>
          <w:p>
            <w:pPr>
              <w:jc w:val="center"/>
            </w:pPr>
            <w:r>
              <w:rPr/>
              <w:t xml:space="preserve">358,495</w:t>
            </w:r>
          </w:p>
        </w:tc>
        <w:tc>
          <w:tcPr>
            <w:tcW w:w="5000" w:type="pct"/>
            <w:noWrap/>
          </w:tcPr>
          <w:p>
            <w:pPr>
              <w:jc w:val="center"/>
            </w:pPr>
            <w:r>
              <w:rPr/>
              <w:t xml:space="preserve">I</w:t>
            </w:r>
          </w:p>
        </w:tc>
        <w:tc>
          <w:tcPr>
            <w:tcW w:w="5000" w:type="pct"/>
            <w:noWrap/>
          </w:tcPr>
          <w:p>
            <w:pPr>
              <w:jc w:val="start"/>
            </w:pPr>
            <w:r>
              <w:rPr/>
              <w:t xml:space="preserve">By Glenn Nussdorf 10 Year Follow On Trust Dated 11-1-1998</w:t>
            </w:r>
          </w:p>
        </w:tc>
      </w:tr>
      <w:tr>
        <w:trPr/>
        <w:tc>
          <w:tcPr>
            <w:tcW w:w="5000" w:type="pct"/>
            <w:noWrap/>
          </w:tcPr>
          <w:p>
            <w:pPr>
              <w:jc w:val="start"/>
            </w:pPr>
            <w:r>
              <w:rPr/>
              <w:t xml:space="preserve">Class A Common Stock</w:t>
            </w:r>
          </w:p>
        </w:tc>
        <w:tc>
          <w:tcPr>
            <w:tcW w:w="5000" w:type="pct"/>
            <w:noWrap/>
          </w:tcPr>
          <w:p>
            <w:pPr>
              <w:jc w:val="center"/>
            </w:pPr>
            <w:r>
              <w:rPr/>
              <w:t xml:space="preserve">06/09/2025</w:t>
            </w:r>
          </w:p>
        </w:tc>
        <w:tc>
          <w:tcPr>
            <w:tcW w:w="5000" w:type="pct"/>
            <w:noWrap/>
          </w:tcPr>
          <w:p>
            <w:pPr>
              <w:jc w:val="center"/>
            </w:pPr>
          </w:p>
        </w:tc>
        <w:tc>
          <w:tcPr>
            <w:tcW w:w="5000" w:type="pct"/>
            <w:noWrap/>
          </w:tcPr>
          <w:p>
            <w:pPr>
              <w:jc w:val="center"/>
            </w:pPr>
            <w:r>
              <w:rPr/>
              <w:t xml:space="preserve">S</w:t>
            </w:r>
            <w:r>
              <w:rPr>
                <w:vertAlign w:val="superscript"/>
              </w:rPr>
              <w:t xml:space="preserve">(5)</w:t>
            </w:r>
          </w:p>
        </w:tc>
        <w:tc>
          <w:tcPr>
            <w:tcW w:w="5000" w:type="pct"/>
            <w:noWrap/>
          </w:tcPr>
          <w:p>
            <w:pPr>
              <w:jc w:val="center"/>
            </w:pPr>
          </w:p>
        </w:tc>
        <w:tc>
          <w:tcPr>
            <w:tcW w:w="5000" w:type="pct"/>
            <w:noWrap/>
          </w:tcPr>
          <w:p>
            <w:pPr>
              <w:jc w:val="center"/>
            </w:pPr>
            <w:r>
              <w:rPr/>
              <w:t xml:space="preserve">4,156</w:t>
            </w:r>
          </w:p>
        </w:tc>
        <w:tc>
          <w:tcPr>
            <w:tcW w:w="5000" w:type="pct"/>
            <w:noWrap/>
          </w:tcPr>
          <w:p>
            <w:pPr>
              <w:jc w:val="center"/>
            </w:pPr>
            <w:r>
              <w:rPr/>
              <w:t xml:space="preserve">D</w:t>
            </w:r>
          </w:p>
        </w:tc>
        <w:tc>
          <w:tcPr>
            <w:tcW w:w="5000" w:type="pct"/>
            <w:noWrap/>
          </w:tcPr>
          <w:p>
            <w:pPr>
              <w:jc w:val="center"/>
            </w:pPr>
            <w:r>
              <w:rPr/>
              <w:t xml:space="preserve">$</w:t>
            </w:r>
            <w:r>
              <w:rPr/>
              <w:t xml:space="preserve">3.5003</w:t>
            </w:r>
            <w:r>
              <w:rPr>
                <w:vertAlign w:val="superscript"/>
              </w:rPr>
              <w:t xml:space="preserve">(3)</w:t>
            </w:r>
          </w:p>
        </w:tc>
        <w:tc>
          <w:tcPr>
            <w:tcW w:w="5000" w:type="pct"/>
            <w:noWrap/>
          </w:tcPr>
          <w:p>
            <w:pPr>
              <w:jc w:val="center"/>
            </w:pPr>
            <w:r>
              <w:rPr/>
              <w:t xml:space="preserve">354,339</w:t>
            </w:r>
          </w:p>
        </w:tc>
        <w:tc>
          <w:tcPr>
            <w:tcW w:w="5000" w:type="pct"/>
            <w:noWrap/>
          </w:tcPr>
          <w:p>
            <w:pPr>
              <w:jc w:val="center"/>
            </w:pPr>
            <w:r>
              <w:rPr/>
              <w:t xml:space="preserve">I</w:t>
            </w:r>
          </w:p>
        </w:tc>
        <w:tc>
          <w:tcPr>
            <w:tcW w:w="5000" w:type="pct"/>
            <w:noWrap/>
          </w:tcPr>
          <w:p>
            <w:pPr>
              <w:jc w:val="start"/>
            </w:pPr>
            <w:r>
              <w:rPr/>
              <w:t xml:space="preserve">By Glenn Nussdorf 10 Year Follow On Trust Dated 11-1-1998</w:t>
            </w:r>
          </w:p>
        </w:tc>
      </w:tr>
      <w:tr>
        <w:trPr/>
        <w:tc>
          <w:tcPr>
            <w:tcW w:w="5000" w:type="pct"/>
            <w:noWrap/>
          </w:tcPr>
          <w:p>
            <w:pPr>
              <w:jc w:val="start"/>
            </w:pPr>
            <w:r>
              <w:rPr/>
              <w:t xml:space="preserve">Class A Common Stock</w:t>
            </w:r>
          </w:p>
        </w:tc>
        <w:tc>
          <w:tcPr>
            <w:tcW w:w="5000" w:type="pct"/>
            <w:noWrap/>
          </w:tcPr>
          <w:p>
            <w:pPr>
              <w:jc w:val="center"/>
            </w:pPr>
            <w:r>
              <w:rPr/>
              <w:t xml:space="preserve">06/10/2025</w:t>
            </w:r>
          </w:p>
        </w:tc>
        <w:tc>
          <w:tcPr>
            <w:tcW w:w="5000" w:type="pct"/>
            <w:noWrap/>
          </w:tcPr>
          <w:p>
            <w:pPr>
              <w:jc w:val="center"/>
            </w:pPr>
          </w:p>
        </w:tc>
        <w:tc>
          <w:tcPr>
            <w:tcW w:w="5000" w:type="pct"/>
            <w:noWrap/>
          </w:tcPr>
          <w:p>
            <w:pPr>
              <w:jc w:val="center"/>
            </w:pPr>
            <w:r>
              <w:rPr/>
              <w:t xml:space="preserve">S</w:t>
            </w:r>
            <w:r>
              <w:rPr>
                <w:vertAlign w:val="superscript"/>
              </w:rPr>
              <w:t xml:space="preserve">(5)</w:t>
            </w:r>
          </w:p>
        </w:tc>
        <w:tc>
          <w:tcPr>
            <w:tcW w:w="5000" w:type="pct"/>
            <w:noWrap/>
          </w:tcPr>
          <w:p>
            <w:pPr>
              <w:jc w:val="center"/>
            </w:pPr>
          </w:p>
        </w:tc>
        <w:tc>
          <w:tcPr>
            <w:tcW w:w="5000" w:type="pct"/>
            <w:noWrap/>
          </w:tcPr>
          <w:p>
            <w:pPr>
              <w:jc w:val="center"/>
            </w:pPr>
            <w:r>
              <w:rPr/>
              <w:t xml:space="preserve">18,620</w:t>
            </w:r>
          </w:p>
        </w:tc>
        <w:tc>
          <w:tcPr>
            <w:tcW w:w="5000" w:type="pct"/>
            <w:noWrap/>
          </w:tcPr>
          <w:p>
            <w:pPr>
              <w:jc w:val="center"/>
            </w:pPr>
            <w:r>
              <w:rPr/>
              <w:t xml:space="preserve">D</w:t>
            </w:r>
          </w:p>
        </w:tc>
        <w:tc>
          <w:tcPr>
            <w:tcW w:w="5000" w:type="pct"/>
            <w:noWrap/>
          </w:tcPr>
          <w:p>
            <w:pPr>
              <w:jc w:val="center"/>
            </w:pPr>
            <w:r>
              <w:rPr/>
              <w:t xml:space="preserve">$</w:t>
            </w:r>
            <w:r>
              <w:rPr/>
              <w:t xml:space="preserve">3.5583</w:t>
            </w:r>
            <w:r>
              <w:rPr>
                <w:vertAlign w:val="superscript"/>
              </w:rPr>
              <w:t xml:space="preserve">(4)</w:t>
            </w:r>
          </w:p>
        </w:tc>
        <w:tc>
          <w:tcPr>
            <w:tcW w:w="5000" w:type="pct"/>
            <w:noWrap/>
          </w:tcPr>
          <w:p>
            <w:pPr>
              <w:jc w:val="center"/>
            </w:pPr>
            <w:r>
              <w:rPr/>
              <w:t xml:space="preserve">335,719</w:t>
            </w:r>
          </w:p>
        </w:tc>
        <w:tc>
          <w:tcPr>
            <w:tcW w:w="5000" w:type="pct"/>
            <w:noWrap/>
          </w:tcPr>
          <w:p>
            <w:pPr>
              <w:jc w:val="center"/>
            </w:pPr>
            <w:r>
              <w:rPr/>
              <w:t xml:space="preserve">I</w:t>
            </w:r>
          </w:p>
        </w:tc>
        <w:tc>
          <w:tcPr>
            <w:tcW w:w="5000" w:type="pct"/>
            <w:noWrap/>
          </w:tcPr>
          <w:p>
            <w:pPr>
              <w:jc w:val="start"/>
            </w:pPr>
            <w:r>
              <w:rPr/>
              <w:t xml:space="preserve">By Glenn Nussdorf 10 Year Follow On Trust Dated 11-1-1998</w:t>
            </w:r>
          </w:p>
        </w:tc>
      </w:tr>
      <w:tr>
        <w:trPr/>
        <w:tc>
          <w:tcPr>
            <w:tcW w:w="5000" w:type="pct"/>
            <w:noWrap/>
          </w:tcPr>
          <w:p>
            <w:pPr>
              <w:jc w:val="start"/>
            </w:pPr>
            <w:r>
              <w:rPr/>
              <w:t xml:space="preserve">Class A Common Stock</w:t>
            </w: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r>
              <w:rPr/>
              <w:t xml:space="preserve">3,065,591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r>
              <w:rPr/>
              <w:t xml:space="preserve">918,680</w:t>
            </w:r>
          </w:p>
        </w:tc>
        <w:tc>
          <w:tcPr>
            <w:tcW w:w="5000" w:type="pct"/>
            <w:noWrap/>
          </w:tcPr>
          <w:p>
            <w:pPr>
              <w:jc w:val="center"/>
            </w:pPr>
            <w:r>
              <w:rPr/>
              <w:t xml:space="preserve">I</w:t>
            </w:r>
          </w:p>
        </w:tc>
        <w:tc>
          <w:tcPr>
            <w:tcW w:w="5000" w:type="pct"/>
            <w:noWrap/>
          </w:tcPr>
          <w:p>
            <w:pPr>
              <w:jc w:val="start"/>
            </w:pPr>
            <w:r>
              <w:rPr/>
              <w:t xml:space="preserve">By GN 2016 Family Trust u/a/d August 12, 2016</w:t>
            </w:r>
          </w:p>
        </w:tc>
      </w:tr>
      <w:tr>
        <w:trPr/>
        <w:tc>
          <w:tcPr>
            <w:tcW w:w="5000" w:type="pct"/>
            <w:noWrap/>
          </w:tcPr>
          <w:p>
            <w:pPr>
              <w:jc w:val="start"/>
            </w:pPr>
            <w:r>
              <w:rPr/>
              <w:t xml:space="preserve">Class A Common Stock</w:t>
            </w: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r>
              <w:rPr/>
              <w:t xml:space="preserve">7,928,570</w:t>
            </w:r>
          </w:p>
        </w:tc>
        <w:tc>
          <w:tcPr>
            <w:tcW w:w="5000" w:type="pct"/>
            <w:noWrap/>
          </w:tcPr>
          <w:p>
            <w:pPr>
              <w:jc w:val="center"/>
            </w:pPr>
            <w:r>
              <w:rPr/>
              <w:t xml:space="preserve">I</w:t>
            </w:r>
          </w:p>
        </w:tc>
        <w:tc>
          <w:tcPr>
            <w:tcW w:w="5000" w:type="pct"/>
            <w:noWrap/>
          </w:tcPr>
          <w:p>
            <w:pPr>
              <w:jc w:val="start"/>
            </w:pPr>
            <w:r>
              <w:rPr/>
              <w:t xml:space="preserve">By GN 2016 Organo 10-Year GRAT u/a/d September 30, 2016</w:t>
            </w: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purchased in multiple transactions at prices ranging from $3.00 to $3.10, inclusive. The reporting person undertakes to provide to Organogenesis, any security holder of Organogenesis, or the staff of the Securities and Exchange Commission, upon request, full information regarding the number of shares purchased at each separate price within the ranges set forth in this footnote (1) to this Form 4.</w:t>
            </w:r>
          </w:p>
        </w:tc>
      </w:tr>
      <w:tr>
        <w:trPr/>
        <w:tc>
          <w:tcPr>
            <w:tcW w:w="5000" w:type="pct"/>
            <w:noWrap/>
          </w:tcPr>
          <w:p>
            <w:pPr/>
            <w:r>
              <w:rPr/>
              <w:t xml:space="preserve">2. The price reported in Column 4 is a weighted-average price. These shares were purchased in multiple transactions at prices ranging from $2.9725 to $3.00, inclusive. The reporting person undertakes to provide to Organogenesis, any security holder of Organogenesis, or the staff of the Securities and Exchange Commission, upon request, full information regarding the number of shares purchased at each separate price within the ranges set forth in this footnote (2) to this Form 4.</w:t>
            </w:r>
          </w:p>
        </w:tc>
      </w:tr>
      <w:tr>
        <w:trPr/>
        <w:tc>
          <w:tcPr>
            <w:tcW w:w="5000" w:type="pct"/>
            <w:noWrap/>
          </w:tcPr>
          <w:p>
            <w:pPr/>
            <w:r>
              <w:rPr/>
              <w:t xml:space="preserve">3. The price reported in Column 4 is a weighted-average price. These shares were sold in multiple transactions at prices ranging from $3.50 to $3.505,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The price reported in Column 4 is a weighted-average price. These shares were sold in multiple transactions at prices ranging from $3.55 to $3.59,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(4) to this Form 4.</w:t>
            </w:r>
          </w:p>
        </w:tc>
      </w:tr>
      <w:tr>
        <w:trPr/>
        <w:tc>
          <w:tcPr>
            <w:tcW w:w="5000" w:type="pct"/>
            <w:noWrap/>
          </w:tcPr>
          <w:p>
            <w:pPr/>
            <w:r>
              <w:rPr/>
              <w:t xml:space="preserve">5. The reporting person's sale of an aggregate of 22,776 shares of the issuer's Class A common stock on June 9, 2025 and June 10, 2025 reported herein was matchable under Section 16(b) of the Securities Exchange Act of 1934, with the reporting person's purchase of 22,776 shares of the issuer's Class A common stock on May 15, 2025. The reporting person has paid to the issuer an amount equal to $13,285.24, representing the full amount of the profit realized in connection with the short-swing transaction ($12,971.78) plus interest at the rate of 6% per annum through the date of payment ($313.46).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11/03/2025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419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2026-08-07T06:16:38-04:00</dcterms:created>
  <dcterms:modified xsi:type="dcterms:W3CDTF">2026-08-07T06:16:38-04:00</dcterms:modified>
</cp:coreProperties>
</file>

<file path=docProps/custom.xml><?xml version="1.0" encoding="utf-8"?>
<Properties xmlns="http://schemas.openxmlformats.org/officeDocument/2006/custom-properties" xmlns:vt="http://schemas.openxmlformats.org/officeDocument/2006/docPropsVTypes"/>
</file>