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to indicate that a transaction was made pursuant to a contract, instruction or written plan for the purchase or sale of equity securities of the issuer that is intended to satisfy the affirmative defense conditions of Rule 10b5-1(c). See Instruction 10. </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Duraibabu Prathyusha</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ORGANOGENESIS HOLDINGS INC.</w:t>
                  </w:r>
                </w:p>
              </w:tc>
            </w:tr>
            <w:tr>
              <w:trPr/>
              <w:tc>
                <w:tcPr>
                  <w:tcW w:w="5000" w:type="pct"/>
                  <w:vAlign w:val="top"/>
                  <w:noWrap/>
                </w:tcPr>
                <w:p>
                  <w:pPr/>
                  <w:r>
                    <w:rPr/>
                    <w:t xml:space="preserve">85 DAN ROAD</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CANTON</w:t>
                  </w:r>
                </w:p>
              </w:tc>
              <w:tc>
                <w:tcPr>
                  <w:tcW w:w="1650" w:type="pct"/>
                  <w:vAlign w:val="top"/>
                  <w:noWrap/>
                </w:tcPr>
                <w:p>
                  <w:pPr/>
                  <w:r>
                    <w:rPr/>
                    <w:t xml:space="preserve">MA</w:t>
                  </w:r>
                </w:p>
              </w:tc>
              <w:tc>
                <w:tcPr>
                  <w:tcW w:w="1650" w:type="pct"/>
                  <w:vAlign w:val="top"/>
                  <w:noWrap/>
                </w:tcPr>
                <w:p>
                  <w:pPr/>
                  <w:r>
                    <w:rPr/>
                    <w:t xml:space="preserve">02021</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02/18/2026</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4250" w:type="pct"/>
                  <w:vAlign w:val="top"/>
                  <w:noWrap/>
                </w:tcPr>
                <w:p>
                  <w:pPr/>
                  <w:r>
                    <w:rPr/>
                    <w:t xml:space="preserve">Form filed by One Reporting Person</w:t>
                  </w:r>
                </w:p>
              </w:tc>
            </w:tr>
            <w:tr>
              <w:trPr/>
              <w:tc>
                <w:tcPr>
                  <w:tcW w:w="750" w:type="pct"/>
                  <w:vAlign w:val="top"/>
                  <w:noWrap/>
                </w:tcPr>
                <w:p>
                  <w:pPr>
                    <w:jc w:val="center"/>
                  </w:pP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02/18/2026</w:t>
            </w:r>
          </w:p>
        </w:tc>
        <w:tc>
          <w:tcPr>
            <w:tcW w:w="5000" w:type="pct"/>
            <w:noWrap/>
          </w:tcPr>
          <w:p>
            <w:pPr>
              <w:jc w:val="center"/>
            </w:pPr>
          </w:p>
        </w:tc>
        <w:tc>
          <w:tcPr>
            <w:tcW w:w="5000" w:type="pct"/>
            <w:noWrap/>
          </w:tcPr>
          <w:p>
            <w:pPr>
              <w:jc w:val="center"/>
            </w:pPr>
            <w:r>
              <w:rPr/>
              <w:t xml:space="preserve">A</w:t>
            </w:r>
            <w:r>
              <w:rPr>
                <w:vertAlign w:val="superscript"/>
              </w:rPr>
              <w:t xml:space="preserve">(1)</w:t>
            </w:r>
          </w:p>
        </w:tc>
        <w:tc>
          <w:tcPr>
            <w:tcW w:w="5000" w:type="pct"/>
            <w:noWrap/>
          </w:tcPr>
          <w:p>
            <w:pPr>
              <w:jc w:val="center"/>
            </w:pPr>
          </w:p>
        </w:tc>
        <w:tc>
          <w:tcPr>
            <w:tcW w:w="5000" w:type="pct"/>
            <w:noWrap/>
          </w:tcPr>
          <w:p>
            <w:pPr>
              <w:jc w:val="center"/>
            </w:pPr>
            <w:r>
              <w:rPr/>
              <w:t xml:space="preserve">48,828</w:t>
            </w:r>
          </w:p>
        </w:tc>
        <w:tc>
          <w:tcPr>
            <w:tcW w:w="5000" w:type="pct"/>
            <w:noWrap/>
          </w:tcPr>
          <w:p>
            <w:pPr>
              <w:jc w:val="center"/>
            </w:pPr>
            <w:r>
              <w:rPr/>
              <w:t xml:space="preserve">A</w:t>
            </w:r>
          </w:p>
        </w:tc>
        <w:tc>
          <w:tcPr>
            <w:tcW w:w="5000" w:type="pct"/>
            <w:noWrap/>
          </w:tcPr>
          <w:p>
            <w:pPr>
              <w:jc w:val="center"/>
            </w:pPr>
            <w:r>
              <w:rPr/>
              <w:t xml:space="preserve">$</w:t>
            </w:r>
            <w:r>
              <w:rPr/>
              <w:t xml:space="preserve">0</w:t>
            </w:r>
          </w:p>
        </w:tc>
        <w:tc>
          <w:tcPr>
            <w:tcW w:w="5000" w:type="pct"/>
            <w:noWrap/>
          </w:tcPr>
          <w:p>
            <w:pPr>
              <w:jc w:val="center"/>
            </w:pPr>
            <w:r>
              <w:rPr/>
              <w:t xml:space="preserve">247,047</w:t>
            </w:r>
          </w:p>
        </w:tc>
        <w:tc>
          <w:tcPr>
            <w:tcW w:w="5000" w:type="pct"/>
            <w:noWrap/>
          </w:tcPr>
          <w:p>
            <w:pPr>
              <w:jc w:val="center"/>
            </w:pPr>
            <w:r>
              <w:rPr/>
              <w:t xml:space="preserve">D</w:t>
            </w:r>
          </w:p>
        </w:tc>
        <w:tc>
          <w:tcPr>
            <w:tcW w:w="5000" w:type="pct"/>
            <w:noWrap/>
          </w:tcPr>
          <w:p>
            <w:pPr>
              <w:jc w:val="start"/>
            </w:pPr>
          </w:p>
        </w:tc>
      </w:tr>
    </w:tbl>
    <w:tbl>
      <w:tblGrid>
        <w:gridCol w:w="650" w:type="dxa"/>
        <w:gridCol w:w="250" w:type="dxa"/>
        <w:gridCol w:w="250" w:type="dxa"/>
        <w:gridCol w:w="250" w:type="dxa"/>
        <w:gridCol w:w="450" w:type="dxa"/>
        <w:gridCol w:w="500" w:type="dxa"/>
        <w:gridCol w:w="450" w:type="dxa"/>
        <w:gridCol w:w="850" w:type="dxa"/>
        <w:gridCol w:w="300" w:type="dxa"/>
        <w:gridCol w:w="300" w:type="dxa"/>
        <w:gridCol w:w="300" w:type="dxa"/>
        <w:gridCol w:w="35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Represents a grant of restricted stock units ("RSUs") under the Organogenesis Holdings Inc. ("Organogenesis") 2018 Equity Incentive Plan. Each RSU represents the contingent right to receive, upon vesting of the unit, one share of Organogenesis Class A common stock. The RSUs vest in full on February 15, 2027.</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William R. Kolb, Attorney-in-Fact</w:t>
            </w:r>
          </w:p>
        </w:tc>
        <w:tc>
          <w:tcPr>
            <w:tcW w:w="1000" w:type="pct"/>
            <w:noWrap/>
          </w:tcPr>
          <w:p>
            <w:pPr/>
            <w:r>
              <w:rPr>
                <w:u w:val="single"/>
              </w:rPr>
              <w:t xml:space="preserve">02/20/2026</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779092"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2026-08-07T06:16:30-04:00</dcterms:created>
  <dcterms:modified xsi:type="dcterms:W3CDTF">2026-08-07T06:16:30-04:00</dcterms:modified>
</cp:coreProperties>
</file>

<file path=docProps/custom.xml><?xml version="1.0" encoding="utf-8"?>
<Properties xmlns="http://schemas.openxmlformats.org/officeDocument/2006/custom-properties" xmlns:vt="http://schemas.openxmlformats.org/officeDocument/2006/docPropsVTypes"/>
</file>