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Avista Healthcare Public Acquisition Corp.</w:t>
              </w:r>
            </w:hyperlink>
            <w:r>
              <w:rPr/>
              <w:t xml:space="preserve">     [ </w:t>
            </w:r>
            <w:r>
              <w:rPr/>
              <w:t xml:space="preserve">AHPA</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07/05/2017</w:t>
            </w:r>
          </w:p>
        </w:tc>
      </w:tr>
      <w:tr>
        <w:trPr/>
        <w:tc>
          <w:tcPr>
            <w:tcW w:w="5000" w:type="pct"/>
            <w:vAlign w:val="top"/>
            <w:noWrap/>
          </w:tcPr>
          <w:p>
            <w:pPr/>
            <w:r>
              <w:rPr/>
              <w:t xml:space="preserve">4. If Amendment, Date of Original Filed         (Month/Day/Year)</w:t>
            </w:r>
            <w:br/>
            <w:r>
              <w:rPr/>
              <w:t xml:space="preserve">07/05/2017</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Class B Ordinary Shares</w:t>
            </w:r>
          </w:p>
        </w:tc>
        <w:tc>
          <w:tcPr>
            <w:tcW w:w="5000" w:type="pct"/>
            <w:noWrap/>
          </w:tcPr>
          <w:p>
            <w:pPr>
              <w:jc w:val="center"/>
            </w:pPr>
            <w:r>
              <w:rPr>
                <w:vertAlign w:val="superscript"/>
              </w:rPr>
              <w:t xml:space="preserve">(1)</w:t>
            </w:r>
          </w:p>
        </w:tc>
        <w:tc>
          <w:tcPr>
            <w:tcW w:w="5000" w:type="pct"/>
            <w:noWrap/>
          </w:tcPr>
          <w:p>
            <w:pPr>
              <w:jc w:val="center"/>
            </w:pPr>
            <w:r>
              <w:rPr/>
              <w:t xml:space="preserve">07/05/2017</w:t>
            </w:r>
            <w:r>
              <w:rPr>
                <w:vertAlign w:val="superscript"/>
              </w:rPr>
              <w:t xml:space="preserve">(5)</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p>
        </w:tc>
        <w:tc>
          <w:tcPr>
            <w:tcW w:w="5000" w:type="pct"/>
            <w:noWrap/>
          </w:tcPr>
          <w:p>
            <w:pPr>
              <w:jc w:val="center"/>
            </w:pPr>
            <w:r>
              <w:rPr/>
              <w:t xml:space="preserve">186,320</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186,320</w:t>
            </w:r>
          </w:p>
        </w:tc>
        <w:tc>
          <w:tcPr>
            <w:tcW w:w="5000" w:type="pct"/>
            <w:noWrap/>
          </w:tcPr>
          <w:p>
            <w:pPr>
              <w:jc w:val="center"/>
            </w:pPr>
            <w:r>
              <w:rPr/>
              <w:t xml:space="preserve">$</w:t>
            </w:r>
            <w:r>
              <w:rPr/>
              <w:t xml:space="preserve">0.003</w:t>
            </w:r>
          </w:p>
        </w:tc>
        <w:tc>
          <w:tcPr>
            <w:tcW w:w="5000" w:type="pct"/>
            <w:noWrap/>
          </w:tcPr>
          <w:p>
            <w:pPr>
              <w:jc w:val="center"/>
            </w:pPr>
            <w:r>
              <w:rPr/>
              <w:t xml:space="preserve">5,692,500</w:t>
            </w:r>
            <w:r>
              <w:rPr>
                <w:vertAlign w:val="superscript"/>
              </w:rPr>
              <w:t xml:space="preserve">(5)</w:t>
            </w:r>
          </w:p>
        </w:tc>
        <w:tc>
          <w:tcPr>
            <w:tcW w:w="5000" w:type="pct"/>
            <w:noWrap/>
          </w:tcPr>
          <w:p>
            <w:pPr>
              <w:jc w:val="center"/>
            </w:pPr>
            <w:r>
              <w:rPr/>
              <w:t xml:space="preserve">D</w:t>
            </w:r>
            <w:r>
              <w:rPr>
                <w:vertAlign w:val="superscript"/>
              </w:rPr>
              <w:t xml:space="preserve">(2)</w:t>
            </w:r>
            <w:r>
              <w:rPr>
                <w:vertAlign w:val="superscript"/>
              </w:rPr>
              <w:t xml:space="preserve">(3)</w:t>
            </w:r>
            <w:r>
              <w:rPr>
                <w:vertAlign w:val="superscript"/>
              </w:rPr>
              <w:t xml:space="preserve">(4)</w:t>
            </w:r>
          </w:p>
        </w:tc>
        <w:tc>
          <w:tcPr>
            <w:tcW w:w="5000" w:type="pct"/>
            <w:noWrap/>
          </w:tcPr>
          <w:p>
            <w:pPr>
              <w:jc w:val="start"/>
            </w:pP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Executive Chairman</w:t>
                  </w: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Pursuant to the Amended and Restated Memorandum and Articles of Association (the "Articles") of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
            </w:r>
          </w:p>
        </w:tc>
      </w:tr>
      <w:tr>
        <w:trPr/>
        <w:tc>
          <w:tcPr>
            <w:tcW w:w="5000" w:type="pct"/>
            <w:noWrap/>
          </w:tcPr>
          <w:p>
            <w:pPr/>
            <w:r>
              <w:rPr/>
              <w:t xml:space="preserve">2. Directly owned by Sponsor. The sole shareholder of Sponsor is Avista Acquisition, LLC ("Avista Acquisition"). Thompson Dean and David Burgstahler are the managers of Avista Acquisition (and, together with Sponsor, Messrs. Dean and Burgstahler are the "Reporting Persons").</w:t>
            </w:r>
          </w:p>
        </w:tc>
      </w:tr>
      <w:tr>
        <w:trPr/>
        <w:tc>
          <w:tcPr>
            <w:tcW w:w="5000" w:type="pct"/>
            <w:noWrap/>
          </w:tcPr>
          <w:p>
            <w:pPr/>
            <w:r>
              <w:rPr/>
              <w:t xml:space="preserve">3.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4.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t xml:space="preserve">5. The original Form 4 filed on July 7, 2017 is amended by this Form 4 amendment solely to correctly reflect the ownership of Class B shares by the Reporting Persons and the transaction date. No other changes have been made to the original Form 4.</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By: /s/ Benjamin Silbert, Attorney-in-Fact for Avista Acquisition Corp</w:t>
            </w:r>
          </w:p>
        </w:tc>
        <w:tc>
          <w:tcPr>
            <w:tcW w:w="1000" w:type="pct"/>
            <w:noWrap/>
          </w:tcPr>
          <w:p>
            <w:pPr/>
            <w:r>
              <w:rPr>
                <w:u w:val="single"/>
              </w:rPr>
              <w:t xml:space="preserve">09/28/2017</w:t>
            </w:r>
          </w:p>
        </w:tc>
      </w:tr>
      <w:tr>
        <w:trPr/>
        <w:tc>
          <w:tcPr>
            <w:tcW w:w="3000" w:type="pct"/>
            <w:noWrap/>
          </w:tcPr>
          <w:p>
            <w:pPr/>
          </w:p>
        </w:tc>
        <w:tc>
          <w:tcPr>
            <w:tcW w:w="1000" w:type="pct"/>
            <w:noWrap/>
          </w:tcPr>
          <w:p>
            <w:pPr/>
            <w:r>
              <w:rPr>
                <w:u w:val="single"/>
              </w:rPr>
              <w:t xml:space="preserve">By: /s/ Benjamin Silbert, Attorney-in-Fact for Avista Acquisition, LLC</w:t>
            </w:r>
          </w:p>
        </w:tc>
        <w:tc>
          <w:tcPr>
            <w:tcW w:w="1000" w:type="pct"/>
            <w:noWrap/>
          </w:tcPr>
          <w:p>
            <w:pPr/>
            <w:r>
              <w:rPr>
                <w:u w:val="single"/>
              </w:rPr>
              <w:t xml:space="preserve">09/28/2017</w:t>
            </w:r>
          </w:p>
        </w:tc>
      </w:tr>
      <w:tr>
        <w:trPr/>
        <w:tc>
          <w:tcPr>
            <w:tcW w:w="3000" w:type="pct"/>
            <w:noWrap/>
          </w:tcPr>
          <w:p>
            <w:pPr/>
          </w:p>
        </w:tc>
        <w:tc>
          <w:tcPr>
            <w:tcW w:w="1000" w:type="pct"/>
            <w:noWrap/>
          </w:tcPr>
          <w:p>
            <w:pPr/>
            <w:r>
              <w:rPr>
                <w:u w:val="single"/>
              </w:rPr>
              <w:t xml:space="preserve">By: /s/ Benjamin Silbert, Attorney-in-Fact for Thompson Dean</w:t>
            </w:r>
          </w:p>
        </w:tc>
        <w:tc>
          <w:tcPr>
            <w:tcW w:w="1000" w:type="pct"/>
            <w:noWrap/>
          </w:tcPr>
          <w:p>
            <w:pPr/>
            <w:r>
              <w:rPr>
                <w:u w:val="single"/>
              </w:rPr>
              <w:t xml:space="preserve">09/28/2017</w:t>
            </w:r>
          </w:p>
        </w:tc>
      </w:tr>
      <w:tr>
        <w:trPr/>
        <w:tc>
          <w:tcPr>
            <w:tcW w:w="3000" w:type="pct"/>
            <w:noWrap/>
          </w:tcPr>
          <w:p>
            <w:pPr/>
          </w:p>
        </w:tc>
        <w:tc>
          <w:tcPr>
            <w:tcW w:w="1000" w:type="pct"/>
            <w:noWrap/>
          </w:tcPr>
          <w:p>
            <w:pPr/>
            <w:r>
              <w:rPr>
                <w:u w:val="single"/>
              </w:rPr>
              <w:t xml:space="preserve">By: /s/ Benjamin Silbert, Attorney-in-Fact for David Burgstahler</w:t>
            </w:r>
          </w:p>
        </w:tc>
        <w:tc>
          <w:tcPr>
            <w:tcW w:w="1000" w:type="pct"/>
            <w:noWrap/>
          </w:tcPr>
          <w:p>
            <w:pPr/>
            <w:r>
              <w:rPr>
                <w:u w:val="single"/>
              </w:rPr>
              <w:t xml:space="preserve">09/28/2017</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 Id="rId10" Type="http://schemas.openxmlformats.org/officeDocument/2006/relationships/hyperlink" Target="/cgi-bin/browse-edgar?action=getcompany&amp;CIK=0001069096" TargetMode="External"/><Relationship Id="rId11"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2026-08-08T03:41:00-04:00</dcterms:created>
  <dcterms:modified xsi:type="dcterms:W3CDTF">2026-08-08T03:41:00-04:00</dcterms:modified>
</cp:coreProperties>
</file>

<file path=docProps/custom.xml><?xml version="1.0" encoding="utf-8"?>
<Properties xmlns="http://schemas.openxmlformats.org/officeDocument/2006/custom-properties" xmlns:vt="http://schemas.openxmlformats.org/officeDocument/2006/docPropsVTypes"/>
</file>