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to indicate that a transaction was made pursuant to a contract, instruction or written plan for the purchase or sale of equity securities of the issuer that is intended to satisfy the affirmative defense conditions of Rule 10b5-1(c). See Instruction 10. </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Gillheeney Gary S.</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r>
                    <w:rPr/>
                    <w:t xml:space="preserve">X</w:t>
                  </w: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r>
                    <w:rPr>
                      <w:color w:val="blue"/>
                    </w:rPr>
                    <w:t xml:space="preserve">President and CEO</w:t>
                  </w: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02/18/2026</w:t>
            </w:r>
          </w:p>
        </w:tc>
      </w:tr>
      <w:tr>
        <w:trPr/>
        <w:tc>
          <w:tcPr>
            <w:tcW w:w="5000" w:type="pct"/>
            <w:vAlign w:val="top"/>
            <w:noWrap/>
          </w:tcPr>
          <w:p>
            <w:pPr/>
            <w:r>
              <w:rPr/>
              <w:t xml:space="preserve">4. If Amendment, Date of Original Filed         (Month/Day/Year)</w:t>
            </w:r>
            <w:br/>
            <w:r>
              <w:rPr/>
              <w:t xml:space="preserve">02/20/2026</w:t>
            </w: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02/18/2026</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188,856</w:t>
            </w:r>
            <w:r>
              <w:rPr>
                <w:vertAlign w:val="superscript"/>
              </w:rPr>
              <w:t xml:space="preserve">(1)</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4,323,398</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02/18/2026</w:t>
            </w:r>
          </w:p>
        </w:tc>
        <w:tc>
          <w:tcPr>
            <w:tcW w:w="5000" w:type="pct"/>
            <w:noWrap/>
          </w:tcPr>
          <w:p>
            <w:pPr>
              <w:jc w:val="center"/>
            </w:pPr>
          </w:p>
        </w:tc>
        <w:tc>
          <w:tcPr>
            <w:tcW w:w="5000" w:type="pct"/>
            <w:noWrap/>
          </w:tcPr>
          <w:p>
            <w:pPr>
              <w:jc w:val="center"/>
            </w:pPr>
            <w:r>
              <w:rPr/>
              <w:t xml:space="preserve">F</w:t>
            </w:r>
          </w:p>
        </w:tc>
        <w:tc>
          <w:tcPr>
            <w:tcW w:w="5000" w:type="pct"/>
            <w:noWrap/>
          </w:tcPr>
          <w:p>
            <w:pPr>
              <w:jc w:val="center"/>
            </w:pPr>
          </w:p>
        </w:tc>
        <w:tc>
          <w:tcPr>
            <w:tcW w:w="5000" w:type="pct"/>
            <w:noWrap/>
          </w:tcPr>
          <w:p>
            <w:pPr>
              <w:jc w:val="center"/>
            </w:pPr>
            <w:r>
              <w:rPr/>
              <w:t xml:space="preserve">91,311</w:t>
            </w:r>
            <w:r>
              <w:rPr>
                <w:vertAlign w:val="superscript"/>
              </w:rPr>
              <w:t xml:space="preserve">(1)</w:t>
            </w:r>
          </w:p>
        </w:tc>
        <w:tc>
          <w:tcPr>
            <w:tcW w:w="5000" w:type="pct"/>
            <w:noWrap/>
          </w:tcPr>
          <w:p>
            <w:pPr>
              <w:jc w:val="center"/>
            </w:pPr>
            <w:r>
              <w:rPr/>
              <w:t xml:space="preserve">D</w:t>
            </w:r>
          </w:p>
        </w:tc>
        <w:tc>
          <w:tcPr>
            <w:tcW w:w="5000" w:type="pct"/>
            <w:noWrap/>
          </w:tcPr>
          <w:p>
            <w:pPr>
              <w:jc w:val="center"/>
            </w:pPr>
            <w:r>
              <w:rPr/>
              <w:t xml:space="preserve">$</w:t>
            </w:r>
            <w:r>
              <w:rPr/>
              <w:t xml:space="preserve">3.84</w:t>
            </w:r>
          </w:p>
        </w:tc>
        <w:tc>
          <w:tcPr>
            <w:tcW w:w="5000" w:type="pct"/>
            <w:noWrap/>
          </w:tcPr>
          <w:p>
            <w:pPr>
              <w:jc w:val="center"/>
            </w:pPr>
            <w:r>
              <w:rPr/>
              <w:t xml:space="preserve">4,232,087</w:t>
            </w:r>
          </w:p>
        </w:tc>
        <w:tc>
          <w:tcPr>
            <w:tcW w:w="5000" w:type="pct"/>
            <w:noWrap/>
          </w:tcPr>
          <w:p>
            <w:pPr>
              <w:jc w:val="center"/>
            </w:pPr>
            <w:r>
              <w:rPr/>
              <w:t xml:space="preserve">D</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This Form 4 is being filed as an amendment to the Form 4 originally filed on February 20, 2026, to correct the number of shares reported as acquired upon the vesting and settlement of a performance share award and the number of shares reported as withheld in satisfaction of tax obligations in connection with such award. No other changes have been made to the original filing.</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03/03/2026</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57373"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2026-08-07T06:16:24-04:00</dcterms:created>
  <dcterms:modified xsi:type="dcterms:W3CDTF">2026-08-07T06:16:24-04:00</dcterms:modified>
</cp:coreProperties>
</file>

<file path=docProps/custom.xml><?xml version="1.0" encoding="utf-8"?>
<Properties xmlns="http://schemas.openxmlformats.org/officeDocument/2006/custom-properties" xmlns:vt="http://schemas.openxmlformats.org/officeDocument/2006/docPropsVTypes"/>
</file>