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5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5</w:t>
            </w:r>
          </w:p>
        </w:tc>
        <w:tc>
          <w:tcPr>
            <w:tcW w:w="3000" w:type="pct"/>
            <w:vAlign w:val="center"/>
            <w:noWrap/>
          </w:tcPr>
          <w:p>
            <w:pPr>
              <w:jc w:val="center"/>
            </w:pPr>
            <w:r>
              <w:rPr/>
              <w:t xml:space="preserve">UNITED STATES SECURITIES AND EXCHANGE COMMISSION</w:t>
            </w:r>
            <w:br/>
            <w:r>
              <w:rPr/>
              <w:t xml:space="preserve">Washington, D.C. 20549</w:t>
            </w:r>
            <w:br/>
            <w:br/>
            <w:r>
              <w:rPr/>
              <w:t xml:space="preserve">ANNUAL 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3235-0362</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1.0</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Form 3 Holdings Reported.</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Form 4 Transactions Reported.</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Statement for Issuer's Fiscal Year Ended         (Month/Day/Year)</w:t>
            </w:r>
            <w:br/>
            <w:r>
              <w:rPr/>
              <w:t xml:space="preserve">12/31/2020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 - Non-Derivative Securities Acquired, Disposed of, or Beneficially Owned</w:t>
            </w:r>
          </w:p>
        </w:tc>
      </w:tr>
      <w:tr>
        <w:trPr>
          <w:tblHeader w:val="1"/>
        </w:trPr>
        <w:tc>
          <w:tcPr>
            <w:tcW w:w="1400" w:type="pct"/>
            <w:vAlign w:val="top"/>
            <w:noWrap/>
          </w:tcPr>
          <w:p>
            <w:pPr>
              <w:jc w:val="start"/>
            </w:pPr>
            <w:r>
              <w:rPr/>
              <w:t xml:space="preserve">1. Title of Security (Instr.       3)   </w:t>
            </w:r>
          </w:p>
        </w:tc>
        <w:tc>
          <w:tcPr>
            <w:tcW w:w="350" w:type="pct"/>
            <w:vAlign w:val="top"/>
            <w:noWrap/>
          </w:tcPr>
          <w:p>
            <w:pPr>
              <w:jc w:val="start"/>
            </w:pPr>
            <w:r>
              <w:rPr/>
              <w:t xml:space="preserve">2. Transaction Date      (Month/Day/Year)</w:t>
            </w:r>
          </w:p>
        </w:tc>
        <w:tc>
          <w:tcPr>
            <w:tcW w:w="300" w:type="pct"/>
            <w:vAlign w:val="top"/>
            <w:noWrap/>
          </w:tcPr>
          <w:p>
            <w:pPr>
              <w:jc w:val="start"/>
            </w:pPr>
            <w:r>
              <w:rPr/>
              <w:t xml:space="preserve">2A. Deemed Execution Date, if any      (Month/Day/Year)</w:t>
            </w:r>
          </w:p>
        </w:tc>
        <w:tc>
          <w:tcPr>
            <w:tcW w:w="300" w:type="pct"/>
            <w:vAlign w:val="top"/>
            <w:noWrap/>
          </w:tcPr>
          <w:p>
            <w:pPr>
              <w:jc w:val="start"/>
            </w:pPr>
            <w:r>
              <w:rPr/>
              <w:t xml:space="preserve">3. Transaction Code (Instr.       8)   </w:t>
            </w:r>
          </w:p>
        </w:tc>
        <w:tc>
          <w:tcPr>
            <w:tcW w:w="120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at end of Issuer's Fiscal Year (Instr.       3 and 4)   </w:t>
            </w:r>
          </w:p>
        </w:tc>
        <w:tc>
          <w:tcPr>
            <w:tcW w:w="400" w:type="pct"/>
            <w:vAlign w:val="top"/>
            <w:noWrap/>
          </w:tcPr>
          <w:p>
            <w:pPr>
              <w:jc w:val="start"/>
            </w:pPr>
            <w:r>
              <w:rPr/>
              <w:t xml:space="preserve">6. Ownership Form: Direct (D) or Indirect (I) (Instr.       4)   </w:t>
            </w:r>
          </w:p>
        </w:tc>
        <w:tc>
          <w:tcPr>
            <w:tcW w:w="450" w:type="pct"/>
            <w:vAlign w:val="top"/>
            <w:noWrap/>
          </w:tcPr>
          <w:p>
            <w:pPr>
              <w:jc w:val="start"/>
            </w:pPr>
            <w:r>
              <w:rPr/>
              <w:t xml:space="preserve">7. Nature of Indirect Beneficial Ownership (Instr.       4)   </w:t>
            </w:r>
          </w:p>
        </w:tc>
      </w:tr>
      <w:tr>
        <w:trPr>
          <w:tblHeader w:val="1"/>
        </w:trPr>
        <w:tc>
          <w:tcPr>
            <w:tcW w:w="500" w:type="pct"/>
            <w:noWrap/>
          </w:tcPr>
          <w:p>
            <w:pPr>
              <w:jc w:val="center"/>
            </w:pPr>
            <w:r>
              <w:rPr/>
              <w:t xml:space="preserve">Amount</w:t>
            </w:r>
          </w:p>
        </w:tc>
        <w:tc>
          <w:tcPr>
            <w:tcW w:w="250" w:type="pct"/>
            <w:noWrap/>
          </w:tcPr>
          <w:p>
            <w:pPr>
              <w:jc w:val="center"/>
            </w:pPr>
            <w:r>
              <w:rPr/>
              <w:t xml:space="preserve">(A) or (D)</w:t>
            </w:r>
          </w:p>
        </w:tc>
        <w:tc>
          <w:tcPr>
            <w:tcW w:w="45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12/29/2020</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251,430</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68,543,546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12/29/2020</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251,430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0.0</w:t>
            </w:r>
          </w:p>
        </w:tc>
        <w:tc>
          <w:tcPr>
            <w:tcW w:w="5000" w:type="pct"/>
            <w:noWrap/>
          </w:tcPr>
          <w:p>
            <w:pPr>
              <w:jc w:val="center"/>
            </w:pPr>
            <w:r>
              <w:rPr/>
              <w:t xml:space="preserve">68,794,976</w:t>
            </w:r>
          </w:p>
        </w:tc>
        <w:tc>
          <w:tcPr>
            <w:tcW w:w="5000" w:type="pct"/>
            <w:noWrap/>
          </w:tcPr>
          <w:p>
            <w:pPr>
              <w:jc w:val="center"/>
            </w:pPr>
            <w:r>
              <w:rPr/>
              <w:t xml:space="preserve">D</w:t>
            </w:r>
          </w:p>
        </w:tc>
        <w:tc>
          <w:tcPr>
            <w:tcW w:w="5000" w:type="pct"/>
            <w:noWrap/>
          </w:tcPr>
          <w:p>
            <w:pPr>
              <w:jc w:val="start"/>
            </w:pPr>
          </w:p>
        </w:tc>
      </w:tr>
    </w:tbl>
    <w:tbl>
      <w:tblGrid>
        <w:gridCol w:w="650" w:type="dxa"/>
        <w:gridCol w:w="300" w:type="dxa"/>
        <w:gridCol w:w="300" w:type="dxa"/>
        <w:gridCol w:w="300" w:type="dxa"/>
        <w:gridCol w:w="300" w:type="dxa"/>
        <w:gridCol w:w="600" w:type="dxa"/>
        <w:gridCol w:w="500" w:type="dxa"/>
        <w:gridCol w:w="900" w:type="dxa"/>
        <w:gridCol w:w="250" w:type="dxa"/>
        <w:gridCol w:w="35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5"/>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300" w:type="pct"/>
            <w:vAlign w:val="top"/>
            <w:noWrap/>
          </w:tcPr>
          <w:p>
            <w:pPr>
              <w:jc w:val="start"/>
            </w:pPr>
            <w:r>
              <w:rPr/>
              <w:t xml:space="preserve">2. Conversion or Exercise Price of Derivative Security   </w:t>
            </w:r>
          </w:p>
        </w:tc>
        <w:tc>
          <w:tcPr>
            <w:tcW w:w="300" w:type="pct"/>
            <w:vAlign w:val="top"/>
            <w:noWrap/>
          </w:tcPr>
          <w:p>
            <w:pPr>
              <w:jc w:val="start"/>
            </w:pPr>
            <w:r>
              <w:rPr/>
              <w:t xml:space="preserve">3. Transaction Date      (Month/Day/Year)</w:t>
            </w:r>
          </w:p>
        </w:tc>
        <w:tc>
          <w:tcPr>
            <w:tcW w:w="300" w:type="pct"/>
            <w:vAlign w:val="top"/>
            <w:noWrap/>
          </w:tcPr>
          <w:p>
            <w:pPr>
              <w:jc w:val="start"/>
            </w:pPr>
            <w:r>
              <w:rPr/>
              <w:t xml:space="preserve">3A. Deemed Execution Date, if any      (Month/Day/Year)</w:t>
            </w:r>
          </w:p>
        </w:tc>
        <w:tc>
          <w:tcPr>
            <w:tcW w:w="300" w:type="pct"/>
            <w:vAlign w:val="top"/>
            <w:noWrap/>
          </w:tcPr>
          <w:p>
            <w:pPr>
              <w:jc w:val="start"/>
            </w:pPr>
            <w:r>
              <w:rPr/>
              <w:t xml:space="preserve">4. Transaction Code (Instr.       8)   </w:t>
            </w:r>
          </w:p>
        </w:tc>
        <w:tc>
          <w:tcPr>
            <w:tcW w:w="600" w:type="pct"/>
            <w:vAlign w:val="top"/>
            <w:gridSpan w:val="2"/>
            <w:noWrap/>
          </w:tcPr>
          <w:p>
            <w:pPr>
              <w:jc w:val="start"/>
            </w:pPr>
            <w:r>
              <w:rPr/>
              <w:t xml:space="preserve">5.       Number of Derivative Securities Acquired (A) or Disposed of (D) (Instr.       3, 4 and 5)   </w:t>
            </w:r>
          </w:p>
        </w:tc>
        <w:tc>
          <w:tcPr>
            <w:tcW w:w="500" w:type="pct"/>
            <w:vAlign w:val="top"/>
            <w:gridSpan w:val="2"/>
            <w:noWrap/>
          </w:tcPr>
          <w:p>
            <w:pPr>
              <w:jc w:val="start"/>
            </w:pPr>
            <w:r>
              <w:rPr/>
              <w:t xml:space="preserve">6. Date Exercisable and Expiration Date       (Month/Day/Year)</w:t>
            </w:r>
          </w:p>
        </w:tc>
        <w:tc>
          <w:tcPr>
            <w:tcW w:w="900" w:type="pct"/>
            <w:vAlign w:val="top"/>
            <w:gridSpan w:val="2"/>
            <w:noWrap/>
          </w:tcPr>
          <w:p>
            <w:pPr>
              <w:jc w:val="start"/>
            </w:pPr>
            <w:r>
              <w:rPr/>
              <w:t xml:space="preserve">7. Title and Amount of Securities Underlying Derivative Security (Instr.       3 and 4)   </w:t>
            </w:r>
          </w:p>
        </w:tc>
        <w:tc>
          <w:tcPr>
            <w:tcW w:w="250" w:type="pct"/>
            <w:vAlign w:val="top"/>
            <w:noWrap/>
          </w:tcPr>
          <w:p>
            <w:pPr>
              <w:jc w:val="start"/>
            </w:pPr>
            <w:r>
              <w:rPr/>
              <w:t xml:space="preserve">8. Price of Derivative Security (Instr.       5)   </w:t>
            </w:r>
          </w:p>
        </w:tc>
        <w:tc>
          <w:tcPr>
            <w:tcW w:w="35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300" w:type="pct"/>
            <w:vAlign w:val="bottom"/>
            <w:noWrap/>
          </w:tcPr>
          <w:p>
            <w:pPr>
              <w:jc w:val="center"/>
            </w:pPr>
            <w:r>
              <w:rPr/>
              <w:t xml:space="preserve">(A)</w:t>
            </w:r>
          </w:p>
        </w:tc>
        <w:tc>
          <w:tcPr>
            <w:tcW w:w="300" w:type="pct"/>
            <w:vAlign w:val="bottom"/>
            <w:noWrap/>
          </w:tcPr>
          <w:p>
            <w:pPr>
              <w:jc w:val="center"/>
            </w:pPr>
            <w:r>
              <w:rPr/>
              <w:t xml:space="preserve">(D)</w:t>
            </w:r>
          </w:p>
        </w:tc>
        <w:tc>
          <w:tcPr>
            <w:tcW w:w="25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6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Such shares were previously held by GN 2016 Organo 10-Year GRAT u/a/d September 30, 2016 (the "GN 2016 GRAT"), a member of the Group (as defined below). On December 29, 2020, the GN 2016 GRAT distributed 251,430 shares of Class A Common Stock of Organogenesis Holdings Inc. to Glenn H. Nussdorf in satisfaction of its annuity obligation and in an exempt transaction pursuant to Rule 16a-13. On December 29, 2020, Glenn H. Nussdorf transferred 251,430 shares of Class A Common Stock of Organogenesis Holdings Inc. to GN 2016 Family Trust u/a/d August 12, 2016 for no consideration. Each of Glenn H. Nussdorf and GN 2016 Family Trust u/a/d August 12, 2016 is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5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02/12/2021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2026-08-07T12:19:10-04:00</dcterms:created>
  <dcterms:modified xsi:type="dcterms:W3CDTF">2026-08-07T12:19:10-04:00</dcterms:modified>
</cp:coreProperties>
</file>

<file path=docProps/custom.xml><?xml version="1.0" encoding="utf-8"?>
<Properties xmlns="http://schemas.openxmlformats.org/officeDocument/2006/custom-properties" xmlns:vt="http://schemas.openxmlformats.org/officeDocument/2006/docPropsVTypes"/>
</file>