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firstLine="0" w:hanging="0"/>
        <w:spacing w:before="2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60" w:after="0"/>
      </w:pPr>
      <w:r>
        <w:rPr>
          <w:rFonts w:ascii="&quot;Times New Roman&quot;" w:hAnsi="&quot;Times New Roman&quot;" w:eastAsia="&quot;Times New Roman&quot;" w:cs="&quot;Times New Roman&quot;"/>
          <w:color w:val="rgba(0,0,0,1)"/>
          <w:sz w:val="36"/>
          <w:szCs w:val="36"/>
          <w:b w:val="1"/>
          <w:bCs w:val="1"/>
          <w:shd w:val="clear" w:fill="rgba(0,0,0,0)"/>
        </w:rPr>
        <w:t xml:space="preserve">UNITED STATES</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36"/>
          <w:szCs w:val="36"/>
          <w:b w:val="1"/>
          <w:bCs w:val="1"/>
          <w:shd w:val="clear" w:fill="rgba(0,0,0,0)"/>
        </w:rPr>
        <w:t xml:space="preserve">SECURITIES AND EXCHANGE COMMISSION</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Washington, D.C. 20549</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36"/>
          <w:szCs w:val="36"/>
          <w:b w:val="1"/>
          <w:bCs w:val="1"/>
          <w:shd w:val="clear" w:fill="rgba(0,0,0,0)"/>
        </w:rPr>
        <w:t xml:space="preserve">FORM </w:t>
      </w:r>
      <w:r>
        <w:rPr>
          <w:rFonts w:ascii="&quot;Times New Roman&quot;" w:hAnsi="&quot;Times New Roman&quot;" w:eastAsia="&quot;Times New Roman&quot;" w:cs="&quot;Times New Roman&quot;"/>
          <w:color w:val="rgba(0,0,0,1)"/>
          <w:sz w:val="36"/>
          <w:szCs w:val="36"/>
          <w:b w:val="1"/>
          <w:bCs w:val="1"/>
          <w:shd w:val="clear" w:fill="rgba(0,0,0,0)"/>
        </w:rPr>
        <w:t xml:space="preserve">8-K</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CURRENT REPORT</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Pursuant to Section 13 or 15(d)</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of the Securities Exchange Act of 1934</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Date of Report (Date of Earliest Event Reported):</w:t>
      </w:r>
      <w:r>
        <w:rPr>
          <w:rFonts w:ascii="&quot;Times New Roman&quot;" w:hAnsi="&quot;Times New Roman&quot;" w:eastAsia="&quot;Times New Roman&quot;" w:cs="&quot;Times New Roman&quot;"/>
          <w:color w:val="rgba(0,0,0,1)"/>
          <w:sz w:val="24"/>
          <w:szCs w:val="24"/>
          <w:b w:val="1"/>
          <w:bCs w:val="1"/>
          <w:shd w:val="clear" w:fill="rgba(0,0,0,0)"/>
        </w:rPr>
        <w:t xml:space="preserve">March 1, 2023</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48"/>
          <w:szCs w:val="48"/>
          <w:b w:val="1"/>
          <w:bCs w:val="1"/>
          <w:shd w:val="clear" w:fill="rgba(0,0,0,0)"/>
        </w:rPr>
        <w:t xml:space="preserve">ORGANOGENESIS HOLDINGS INC.</w:t>
      </w:r>
      <w:r>
        <w:rPr>
          <w:rFonts w:ascii="&quot;Times New Roman&quot;" w:hAnsi="&quot;Times New Roman&quot;" w:eastAsia="&quot;Times New Roman&quot;" w:cs="&quot;Times New Roman&quot;"/>
          <w:color w:val="rgba(0,0,0,1)"/>
          <w:sz w:val="48"/>
          <w:szCs w:val="48"/>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(Exact Name of Registrant as specified in its charter)</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16650" w:type="dxa"/>
        <w:gridCol w:w="17150" w:type="dxa"/>
        <w:gridCol w:w="16200" w:type="dxa"/>
      </w:tblGrid>
      <w:tblPr>
        <w:tblW w:w="0" w:type="pct"/>
        <w:tblLayout w:type="autofit"/>
      </w:tblPr>
      <w:tr>
        <w:trPr/>
        <w:tc>
          <w:tcPr>
            <w:tcW w:w="16650" w:type="pct"/>
            <w:noWrap/>
          </w:tcPr>
          <w:p>
            <w:pPr/>
          </w:p>
        </w:tc>
        <w:tc>
          <w:tcPr>
            <w:tcW w:w="17150" w:type="pct"/>
            <w:noWrap/>
          </w:tcPr>
          <w:p>
            <w:pPr/>
          </w:p>
        </w:tc>
        <w:tc>
          <w:tcPr>
            <w:tcW w:w="16200" w:type="pct"/>
            <w:noWrap/>
          </w:tcPr>
          <w:p>
            <w:pP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Delaware</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001-37906</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98-1329150</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(State or Other Jurisdiction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of Incorporation)</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(Commission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File Number)</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(IRS Employer</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Identification No.)</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85 Dan Road</w:t>
            </w:r>
          </w:p>
          <w:p>
            <w:pPr>
              <w:jc w:val="center"/>
              <w:ind w:left="0" w:right="0" w:firstLine="0" w:hanging="0"/>
              <w:spacing w:before="0" w:after="20"/>
            </w:pPr>
            <w:r>
              <w:rPr>
                <w:rFonts w:ascii="&quot;Times New Roman&quot;" w:hAnsi="&quot;Times New Roman&quot;" w:eastAsia="&quot;Times New Roman&quot;" w:cs="&quot;Times New Roman&quot;"/>
                <w:color w:val="rgba(0,0,0,1)"/>
                <w:sz w:val="20"/>
                <w:szCs w:val="20"/>
                <w:b w:val="1"/>
                <w:bCs w:val="1"/>
                <w:shd w:val="clear" w:fill="rgba(0,0,0,0)"/>
              </w:rPr>
              <w:t xml:space="preserve">Canton</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MA</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02021</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(Address of principal executive offices)</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0,0,0,0)"/>
              </w:rPr>
              <w:t xml:space="preserve">  </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(Zip Code)</w:t>
            </w:r>
          </w:p>
        </w:tc>
      </w:tr>
    </w:tbl>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(781)</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575-0775</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telephone number, including area code)</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Not Applicable</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name or former address, if change since last report)</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Check the appropriate box below if the Form 8-K filing is intended to simultaneously satisfy the filing obligation of the registrant under any of the following provisions:</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Written communications pursuant to Rule 425 under the Securities Act (17 CFR 230.425)</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Soliciting material pursuant to Rule 14a-12 under the Exchange Act (17 CFR 240.14a-12)</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14d-2(b) under the Exchange Act (17 CFR 240.14d-2(b))</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13e-4(c) under the Exchange Act (17 CFR 240.13e-4(c))</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tblGrid>
      <w:tblPr>
        <w:tblW w:w="0" w:type="pct"/>
        <w:tblLayout w:type="autofit"/>
      </w:tblPr>
      <w:tr>
        <w:trPr/>
        <w:tc>
          <w:tcPr>
            <w:tcW w:w="0" w:type="pct"/>
            <w:noWrap/>
          </w:tcPr>
          <w:p>
            <w:pPr/>
          </w:p>
        </w:tc>
      </w:tr>
      <w:tr>
        <w:trPr>
          <w:trHeight w:val="200" w:hRule="exact"/>
        </w:trPr>
        <w:tc>
          <w:tcPr>
            <w:tcW w:w="0" w:type="pct"/>
            <w:vAlign w:val="top"/>
            <w:shd w:val="clear" w:fill="rgba(0,0,0,0)"/>
            <w:noWrap/>
          </w:tcPr>
          <w:p>
            <w:pPr>
              <w:jc w:val="start"/>
              <w:ind w:left="0" w:right="0" w:firstLine="1032"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Securities registered pursuant to Section 12(b) of the Act:</w:t>
            </w:r>
          </w:p>
        </w:tc>
      </w:tr>
    </w:tbl>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gridCol w:w="0" w:type="dxa"/>
        <w:gridCol w:w="0" w:type="dxa"/>
        <w:gridCol w:w="0" w:type="dxa"/>
        <w:gridCol w:w="0" w:type="dxa"/>
      </w:tblGrid>
      <w:tblPr>
        <w:tblW w:w="0" w:type="pct"/>
        <w:tblLayout w:type="autofit"/>
      </w:tblPr>
      <w:tr>
        <w:trPr/>
        <w:tc>
          <w:tcPr>
            <w:tcW w:w="0" w:type="pct"/>
            <w:noWrap/>
          </w:tcPr>
          <w:p>
            <w:pPr/>
          </w:p>
        </w:tc>
        <w:tc>
          <w:tcPr>
            <w:tcW w:w="0" w:type="pct"/>
            <w:noWrap/>
          </w:tcPr>
          <w:p>
            <w:pPr/>
          </w:p>
        </w:tc>
        <w:tc>
          <w:tcPr>
            <w:tcW w:w="0" w:type="pct"/>
            <w:noWrap/>
          </w:tcPr>
          <w:p>
            <w:pPr/>
          </w:p>
        </w:tc>
        <w:tc>
          <w:tcPr>
            <w:tcW w:w="0" w:type="pct"/>
            <w:noWrap/>
          </w:tcPr>
          <w:p>
            <w:pPr/>
          </w:p>
        </w:tc>
        <w:tc>
          <w:tcPr>
            <w:tcW w:w="0" w:type="pct"/>
            <w:noWrap/>
          </w:tcPr>
          <w:p>
            <w:pPr/>
          </w:p>
        </w:tc>
      </w:tr>
      <w:tr>
        <w:trPr>
          <w:trHeight w:val="160" w:hRule="exact"/>
        </w:trPr>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Title of each class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Trading</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Symbol(s)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Name of each exchange on which registered</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Class A Common Stock, $0.0001 par value</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ORGO</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Nasdaq</w:t>
            </w:r>
            <w:r>
              <w:rPr>
                <w:rFonts w:ascii="&quot;Times New Roman&quot;" w:hAnsi="&quot;Times New Roman&quot;" w:eastAsia="&quot;Times New Roman&quot;" w:cs="&quot;Times New Roman&quot;"/>
                <w:color w:val="rgba(0,0,0,1)"/>
                <w:sz w:val="20"/>
                <w:szCs w:val="20"/>
                <w:b w:val="1"/>
                <w:bCs w:val="1"/>
                <w:shd w:val="clear" w:fill="rgba(0,0,0,0)"/>
              </w:rPr>
              <w:t xml:space="preserve"> Capital Market</w:t>
            </w:r>
          </w:p>
        </w:tc>
      </w:tr>
    </w:tbl>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Emerging Growth Company  </w:t>
      </w: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quot;Times New Roman&quot;" w:hAnsi="&quot;Times New Roman&quot;" w:eastAsia="&quot;Times New Roman&quot;" w:cs="&quot;Times New Roman&quot;"/>
          <w:color w:val="rgba(0,0,0,1)"/>
          <w:sz w:val="20"/>
          <w:szCs w:val="20"/>
          <w:b w:val="0"/>
          <w:bCs w:val="0"/>
        </w:rPr>
        <w:t xml:space="preserve"> </w:t>
      </w:r>
    </w:p>
    <w:p>
      <w:pPr>
        <w:jc w:val="center"/>
        <w:ind w:left="0" w:right="0" w:firstLine="0" w:hanging="0"/>
        <w:spacing w:before="18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Item 2.02	Results of Operations and Financial Condition.</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0"/>
          <w:bCs w:val="0"/>
          <w:shd w:val="clear" w:fill="rgba(0,0,0,0)"/>
        </w:rPr>
        <w:t xml:space="preserve">On March 1, 2023, the Company announced via press release its results for the fiscal fourth quarter and year ended December 31, 2022. A copy of the Company’s press release is hereby furnished to the Commission and incorporated herein by reference as Exhibit 99.1.</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1"/>
          <w:bCs w:val="1"/>
          <w:shd w:val="clear" w:fill="rgba(0,0,0,0)"/>
        </w:rPr>
        <w:t xml:space="preserve">Item 9.01.	Financial Statements and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1"/>
          <w:bCs w:val="1"/>
          <w:shd w:val="clear" w:fill="rgba(0,0,0,0)"/>
        </w:rPr>
        <w:t xml:space="preserve">(d)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4150" w:type="dxa"/>
        <w:gridCol w:w="950" w:type="dxa"/>
        <w:gridCol w:w="44900" w:type="dxa"/>
      </w:tblGrid>
      <w:tblPr>
        <w:tblW w:w="0" w:type="pct"/>
        <w:tblLayout w:type="autofit"/>
      </w:tblPr>
      <w:tr>
        <w:trPr/>
        <w:tc>
          <w:tcPr>
            <w:tcW w:w="4150" w:type="pct"/>
            <w:noWrap/>
          </w:tcPr>
          <w:p>
            <w:pPr/>
          </w:p>
        </w:tc>
        <w:tc>
          <w:tcPr>
            <w:tcW w:w="950" w:type="pct"/>
            <w:noWrap/>
          </w:tcPr>
          <w:p>
            <w:pPr/>
          </w:p>
        </w:tc>
        <w:tc>
          <w:tcPr>
            <w:tcW w:w="44900" w:type="pct"/>
            <w:noWrap/>
          </w:tcPr>
          <w:p>
            <w:pPr/>
          </w:p>
        </w:tc>
      </w:tr>
      <w:tr>
        <w:trPr>
          <w:trHeight w:val="160" w:hRule="exact"/>
        </w:trPr>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Exhibit</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No.</w:t>
            </w:r>
          </w:p>
        </w:tc>
        <w:tc>
          <w:tcPr>
            <w:tcW w:w="0" w:type="pct"/>
            <w:vAlign w:val="bottom"/>
            <w:tcBorders>
              <w:bottom w:val="single" w:sz="250" w:color="solid"/>
            </w:tcBorders>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255,255,255,1)"/>
              </w:rPr>
              <w:t xml:space="preserve">  </w:t>
            </w:r>
          </w:p>
        </w:tc>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Description</w:t>
            </w:r>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99.1</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sz w:val="20"/>
                <w:szCs w:val="20"/>
                <w:shd w:val="clear" w:fill="rgba(255,255,255,1)"/>
              </w:rPr>
              <w:t xml:space="preserve"> </w:t>
            </w:r>
          </w:p>
        </w:tc>
        <w:tc>
          <w:tcPr>
            <w:tcW w:w="0" w:type="pct"/>
            <w:vAlign w:val="bottom"/>
            <w:shd w:val="clear" w:fill="rgba(255,255,255,1)"/>
            <w:noWrap/>
          </w:tcPr>
          <w:p>
            <w:pPr>
              <w:jc w:val="start"/>
              <w:ind w:left="0" w:right="0" w:firstLine="0" w:hanging="0"/>
              <w:spacing w:before="0" w:after="0"/>
            </w:pPr>
            <w:hyperlink r:id="rId7" w:history="1">
              <w:r>
                <w:rPr/>
                <w:t xml:space="preserve">Press Release dated March 1, 2023</w:t>
              </w:r>
            </w:hyperlink>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104</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255,255,255,1)"/>
              </w:rPr>
              <w:t xml:space="preserve">  </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Cover Page Interactive Data File (embedded within the Inline XBRL document)</w:t>
            </w:r>
          </w:p>
        </w:tc>
      </w:tr>
    </w:tbl>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
          <w:szCs w:val="2"/>
          <w:b w:val="0"/>
          <w:bCs w:val="0"/>
        </w:rPr>
        <w:t xml:space="preserve">  </w:t>
      </w:r>
    </w:p>
    <w:p>
      <w:pPr>
        <w:spacing w:before="120" w:after="120" w:line="240" w:lineRule="auto"/>
        <w:pBdr>
          <w:bottom w:val="single" w:sz="1" w:color="000000"/>
        </w:pBdr>
      </w:pPr>
      <w:r>
        <w:rPr>
          <w:sz w:val="6"/>
          <w:szCs w:val="6"/>
        </w:rPr>
        <w:t xml:space="preserve"/>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SIGNATURE</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Pursuant to the requirements of the Securities Exchange Act of 1934, as amended, the registrant has duly caused this report to be signed on its behalf by the undersigned hereunto duly authorized.</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49550" w:type="dxa"/>
        <w:gridCol w:w="450" w:type="dxa"/>
      </w:tblGrid>
      <w:tblPr>
        <w:tblW w:w="0" w:type="pct"/>
        <w:tblLayout w:type="autofit"/>
      </w:tblPr>
      <w:tr>
        <w:trPr/>
        <w:tc>
          <w:tcPr>
            <w:tcW w:w="49550" w:type="pct"/>
            <w:noWrap/>
          </w:tcPr>
          <w:p>
            <w:pPr/>
          </w:p>
        </w:tc>
        <w:tc>
          <w:tcPr>
            <w:tcW w:w="450" w:type="pct"/>
            <w:noWrap/>
          </w:tcPr>
          <w:p>
            <w:pPr/>
          </w:p>
        </w:tc>
      </w:tr>
      <w:tr>
        <w:trPr>
          <w:trHeight w:val="200" w:hRule="exact"/>
        </w:trPr>
        <w:tc>
          <w:tcPr>
            <w:tcW w:w="0" w:type="pct"/>
            <w:vAlign w:val="top"/>
            <w:shd w:val="clear" w:fill="rgba(0,0,0,0)"/>
            <w:gridSpan w:val="2"/>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Organogenesis Holdings Inc.</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By:</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 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Name: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Title: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Vice President and General Counsel</w:t>
            </w:r>
          </w:p>
        </w:tc>
      </w:tr>
    </w:tbl>
    <w:p>
      <w:pPr>
        <w:jc w:val="start"/>
        <w:ind w:left="0" w:right="0" w:firstLine="0" w:hanging="0"/>
        <w:spacing w:before="24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Date: March 1, 2023</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2026-08-07T07:23:27-04:00</dcterms:created>
  <dcterms:modified xsi:type="dcterms:W3CDTF">2026-08-07T07:23:27-04:00</dcterms:modified>
</cp:coreProperties>
</file>

<file path=docProps/custom.xml><?xml version="1.0" encoding="utf-8"?>
<Properties xmlns="http://schemas.openxmlformats.org/officeDocument/2006/custom-properties" xmlns:vt="http://schemas.openxmlformats.org/officeDocument/2006/docPropsVTypes"/>
</file>