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November 27, 2024</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200" w:hRule="exact"/>
        </w:trPr>
        <w:tc>
          <w:tcPr>
            <w:tcW w:w="0" w:type="pct"/>
            <w:vAlign w:val="top"/>
            <w:gridSpan w:val="5"/>
            <w:noWrap/>
          </w:tcPr>
          <w:p>
            <w:pPr>
              <w:jc w:val="start"/>
              <w:ind w:left="0" w:right="0" w:firstLine="1032"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r>
        <w:trPr>
          <w:trHeight w:val="200" w:hRule="exact"/>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spacing w:before="120" w:after="120" w:line="240" w:lineRule="auto"/>
        <w:pBdr>
          <w:bottom w:val="single" w:sz="1" w:color="000000"/>
        </w:pBdr>
      </w:pPr>
      <w:r>
        <w:rPr>
          <w:sz w:val="6"/>
          <w:szCs w:val="6"/>
        </w:rPr>
        <w:t xml:space="preserve"/>
      </w:r>
    </w:p>
    <w:p>
      <w:pPr>
        <w:jc w:val="start"/>
        <w:spacing w:before="0" w:after="0"/>
      </w:pPr>
      <w:r>
        <w:rPr>
          <w:rFonts w:ascii="Times New Roman" w:hAnsi="Times New Roman" w:eastAsia="Times New Roman" w:cs="Times New Roman"/>
          <w:color w:val="000000"/>
          <w:sz w:val="2"/>
          <w:szCs w:val="2"/>
        </w:rPr>
        <w:t xml:space="preserve"> </w:t>
      </w:r>
    </w:p>
    <w:p>
      <w:pPr>
        <w:jc w:val="start"/>
        <w:spacing w:before="0" w:after="240"/>
      </w:pPr>
      <w:r>
        <w:rPr>
          <w:rFonts w:ascii="Times New Roman" w:hAnsi="Times New Roman" w:eastAsia="Times New Roman" w:cs="Times New Roman"/>
          <w:color w:val="000000"/>
          <w:sz w:val="20"/>
          <w:szCs w:val="20"/>
          <w:b w:val="1"/>
          <w:bCs w:val="1"/>
        </w:rPr>
        <w:t xml:space="preserve">Item 1.01. 		Entry into a Material Definitive Agreement.</w:t>
      </w:r>
    </w:p>
    <w:p>
      <w:pPr>
        <w:jc w:val="both"/>
        <w:spacing w:before="0" w:after="240"/>
      </w:pPr>
      <w:r>
        <w:rPr>
          <w:rFonts w:ascii="Times New Roman" w:hAnsi="Times New Roman" w:eastAsia="Times New Roman" w:cs="Times New Roman"/>
          <w:color w:val="000000"/>
          <w:sz w:val="20"/>
          <w:szCs w:val="20"/>
        </w:rPr>
        <w:t xml:space="preserve">On November 27, 2024, Organogenesis Holdings Inc. (the “Company”) entered into a stock repurchase agreement (the “Stock Repurchase Agreement” and the stock repurchase thereunder, the “Repurchase”) with the GN 2016 Family Trust u/a/d August 12, 2016 (the “Selling Stockholder”), pursuant to which the Company will repurchase an aggregate of 500,000 shares of the Company’s Class A common stock, par value $0.0001 per share (the “Common Stock”) from the Selling Stockholder for a purchase price of $4.057 per share, which represents the 10-day trailing volume weighted average price of the Common Stock as of market close on November 26, 2024. Glenn H. Nussdorf, a member of the board of directors of the Company (the “Board”), is a beneficial owner of the shares held by the GN 2016 Family Trust u/a/d August 12, 2016.</w:t>
      </w:r>
    </w:p>
    <w:p>
      <w:pPr>
        <w:jc w:val="both"/>
        <w:spacing w:before="0" w:after="240"/>
      </w:pPr>
      <w:r>
        <w:rPr>
          <w:rFonts w:ascii="Times New Roman" w:hAnsi="Times New Roman" w:eastAsia="Times New Roman" w:cs="Times New Roman"/>
          <w:color w:val="000000"/>
          <w:sz w:val="20"/>
          <w:szCs w:val="20"/>
        </w:rPr>
        <w:t xml:space="preserve">The Repurchase and the Stock Repurchase Agreement were approved by the Audit Committee and a Transaction Committee of the Board. The Repurchase was funded by a portion of the proceeds from the Company’s previously disclosed sale on November 12, 2024 of its Series A Convertible Preferred Stock to Avista Healthcare Partners III, L.P. and AHP III Orchestra Holdings, L.P. The Repurchase is expected to close on or around December 3, 2024.</w:t>
      </w:r>
    </w:p>
    <w:p>
      <w:pPr>
        <w:jc w:val="both"/>
        <w:spacing w:before="0" w:after="240"/>
      </w:pPr>
      <w:r>
        <w:rPr>
          <w:rFonts w:ascii="Times New Roman" w:hAnsi="Times New Roman" w:eastAsia="Times New Roman" w:cs="Times New Roman"/>
          <w:color w:val="000000"/>
          <w:sz w:val="20"/>
          <w:szCs w:val="20"/>
        </w:rPr>
        <w:t xml:space="preserve">The foregoing description of the Repurchase Agreement is not complete and is qualified in its entirety by reference to the Repurchase Agreement, a copy of which is attached to this Current Report on Form 8-K as Exhibit 10.1 and incorporated herein by reference.</w:t>
      </w:r>
    </w:p>
    <w:p>
      <w:pPr>
        <w:jc w:val="start"/>
        <w:spacing w:before="0" w:after="24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top"/>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Stock Repurchase Agreement, dated November 27, 2024, by and between Organogenesis Holdings Inc. and GN 2016 Family Trust u/a/d August 12, 2016</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December 2, 2024</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10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2026-08-07T06:17:02-04:00</dcterms:created>
  <dcterms:modified xsi:type="dcterms:W3CDTF">2026-08-07T06:17:02-04:00</dcterms:modified>
</cp:coreProperties>
</file>

<file path=docProps/custom.xml><?xml version="1.0" encoding="utf-8"?>
<Properties xmlns="http://schemas.openxmlformats.org/officeDocument/2006/custom-properties" xmlns:vt="http://schemas.openxmlformats.org/officeDocument/2006/docPropsVTypes"/>
</file>