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August 5, 2025</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1.01	Entry into a Material Definitive Agreement.</w:t>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0"/>
          <w:szCs w:val="20"/>
        </w:rPr>
        <w:t xml:space="preserve">On August 5, 2025, Organogenesis Holdings Inc. (the “Company”) entered into a Fourth Amendment to the Credit Agreement dated August 6, 2021 (the Credit Agreement, as amended, the “Credit Agreement,” and the Fourth Amendment to the Credit Agreement, the “Fourth Amendment”), by and among the Company, as borrower, and its subsidiaries, Organogenesis Inc. and Prime Merger Sub, LLC, as guarantors, and Silicon Valley Bank, as Administrative Agent, and the several other lenders from time to time party thereto. The Fourth Amendment amended Section 7.1(a) of the Credit Agreement to provide that, so long as there are no swingline loans or revolving loans outstanding, the consolidated fixed charge coverage ratio covenant shall not be tested for the fiscal quarter ending June 30, 2025. Notwithstanding this testing accommodation for the quarter ended June 30, 2025, the covenant is deemed to be in effect for purposes of any transaction contemplated by the Credit Agreement that requires pro forma compliance with the consolidated fixed charge coverage ratio or the financial covenants generally and would preclude the Company from any additional borrowing under the Credit Agreement unless waived or further amended.</w:t>
      </w:r>
    </w:p>
    <w:p>
      <w:pPr>
        <w:jc w:val="start"/>
        <w:spacing w:before="240" w:after="0"/>
      </w:pPr>
      <w:r>
        <w:rPr>
          <w:rFonts w:ascii="Times New Roman" w:hAnsi="Times New Roman" w:eastAsia="Times New Roman" w:cs="Times New Roman"/>
          <w:color w:val="000000"/>
          <w:sz w:val="20"/>
          <w:szCs w:val="20"/>
        </w:rPr>
        <w:t xml:space="preserve">The Fourth Amendment also requires the Company, its subsidiary guarantors, the Administrative Agent and certain of the lenders prior to September 30, 2025 to enter into an agreement to reset certain financial covenants or implement new financial covenants and implement other modifications to the Credit Agreement and related documents, on terms and conditions reasonably acceptable to the Administrative Agent and such lenders. The lenders shall have no further obligation to make revolving extensions of credit under the Credit Agreement until such an agreement has been executed, and the failure of the Company to enter into such an agreement shall constitute an event of default under the Credit Agreement. Notwithstanding this obligation, the Company has the right to terminate the Credit Agreement for its convenience prior to such date, and it expects that the cash on hand and other components of working capital as of June 30, 2025, plus net cash flows from product sales will be sufficient to fund the Company’s operating expenses, capital expenditure requirements and debt service payments for at least 12 months beyond the filing date of the Company’s Form 10-Q for the quarter ended June 30, 2025.</w:t>
      </w:r>
    </w:p>
    <w:p>
      <w:pPr>
        <w:jc w:val="start"/>
        <w:spacing w:before="240" w:after="0"/>
      </w:pPr>
      <w:r>
        <w:rPr>
          <w:rFonts w:ascii="Times New Roman" w:hAnsi="Times New Roman" w:eastAsia="Times New Roman" w:cs="Times New Roman"/>
          <w:color w:val="000000"/>
          <w:sz w:val="20"/>
          <w:szCs w:val="20"/>
        </w:rPr>
        <w:t xml:space="preserve">The foregoing description of the Fourth Amendment is not complete and is qualified in its entirety by reference to the Fourth Amendment, which is attached to this Current Report on Form 8-K as Exhibit 10.1 and incorporated herein by reference.</w:t>
      </w:r>
    </w:p>
    <w:p>
      <w:pPr>
        <w:jc w:val="start"/>
        <w:spacing w:before="0" w:after="0"/>
      </w:pPr>
      <w:r>
        <w:rPr>
          <w:rFonts w:ascii="Times New Roman" w:hAnsi="Times New Roman" w:eastAsia="Times New Roman" w:cs="Times New Roman"/>
          <w:sz w:val="24"/>
          <w:szCs w:val="24"/>
        </w:rPr>
        <w:t xml:space="preserve"> </w:t>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On August 7, 2025, the Company announced via press release its results for the fiscal second quarter ended June 30, 2025.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top"/>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Fourth Amendment to Credit Agreement dated as of August 5, 2025 by and among the Company, the lenders named therein and the administrative agent</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8" w:history="1">
              <w:r>
                <w:rPr/>
                <w:t xml:space="preserve">Press Release dated August 7, 2025</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color w:val="000000"/>
          <w:sz w:val="20"/>
          <w:szCs w:val="20"/>
        </w:rPr>
        <w:t xml:space="preserve">Date: August 7, 2025</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10_1.htm" TargetMode="External"/><Relationship Id="rId8"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2026-08-07T06:16:41-04:00</dcterms:created>
  <dcterms:modified xsi:type="dcterms:W3CDTF">2026-08-07T06:16:41-04:00</dcterms:modified>
</cp:coreProperties>
</file>

<file path=docProps/custom.xml><?xml version="1.0" encoding="utf-8"?>
<Properties xmlns="http://schemas.openxmlformats.org/officeDocument/2006/custom-properties" xmlns:vt="http://schemas.openxmlformats.org/officeDocument/2006/docPropsVTypes"/>
</file>