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w:t>
      </w:r>
    </w:p>
    <w:p>
      <w:pPr/>
      <w:r>
        <w:rPr/>
        <w:t xml:space="preserve">1</w:t>
      </w:r>
    </w:p>
    <w:p>
      <w:pPr/>
      <w:r>
        <w:rPr/>
        <w:t xml:space="preserve">d649267d8k.htm</w:t>
      </w:r>
    </w:p>
    <w:p>
      <w:pPr/>
      <w:r>
        <w:rPr/>
        <w:t xml:space="preserve">8-K</w:t>
      </w:r>
    </w:p>
    <w:p>
      <w:pPr/>
      <w:r>
        <w:rPr/>
        <w:t xml:space="preserve">8-K</w:t>
      </w:r>
    </w:p>
    <w:p>
      <w:pPr>
        <w:jc w:val="start"/>
        <w:spacing w:before="0" w:after="40" w:line="20" w:lineRule="exact"/>
      </w:pPr>
      <w:r>
        <w:rPr/>
        <w:t xml:space="preserve"> </w:t>
      </w:r>
    </w:p>
    <w:p>
      <w:pPr>
        <w:jc w:val="center"/>
        <w:spacing w:before="0" w:after="0"/>
      </w:pPr>
      <w:r>
        <w:rPr>
          <w:rFonts w:ascii="Times New Roman" w:hAnsi="Times New Roman" w:eastAsia="Times New Roman" w:cs="Times New Roman"/>
          <w:sz w:val="28"/>
          <w:szCs w:val="28"/>
          <w:b w:val="1"/>
          <w:bCs w:val="1"/>
        </w:rPr>
        <w:t xml:space="preserve">UNITED STATES </w:t>
      </w:r>
    </w:p>
    <w:p>
      <w:pPr>
        <w:jc w:val="center"/>
        <w:spacing w:before="0" w:after="0"/>
      </w:pPr>
      <w:r>
        <w:rPr>
          <w:rFonts w:ascii="Times New Roman" w:hAnsi="Times New Roman" w:eastAsia="Times New Roman" w:cs="Times New Roman"/>
          <w:sz w:val="28"/>
          <w:szCs w:val="28"/>
          <w:b w:val="1"/>
          <w:bCs w:val="1"/>
        </w:rPr>
        <w:t xml:space="preserve">SECURITIESAND EXCHANGE COMMISSION </w:t>
      </w:r>
    </w:p>
    <w:p>
      <w:pPr>
        <w:jc w:val="center"/>
        <w:spacing w:before="0" w:after="0"/>
      </w:pPr>
      <w:r>
        <w:rPr>
          <w:rFonts w:ascii="Times New Roman" w:hAnsi="Times New Roman" w:eastAsia="Times New Roman" w:cs="Times New Roman"/>
          <w:sz w:val="20"/>
          <w:szCs w:val="20"/>
          <w:b w:val="1"/>
          <w:bCs w:val="1"/>
        </w:rPr>
        <w:t xml:space="preserve">Washington, D.C. 20549 </w:t>
      </w:r>
    </w:p>
    <w:p>
      <w:pPr>
        <w:jc w:val="start"/>
        <w:spacing w:before="0" w:after="0"/>
      </w:pPr>
      <w:r>
        <w:rPr>
          <w:sz w:val="24"/>
          <w:szCs w:val="24"/>
        </w:rPr>
        <w:t xml:space="preserve"> </w:t>
      </w:r>
    </w:p>
    <w:p>
      <w:pPr>
        <w:jc w:val="start"/>
        <w:spacing w:before="0" w:after="40" w:line="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20" w:lineRule="exact"/>
      </w:pPr>
      <w:r>
        <w:rPr/>
        <w:t xml:space="preserve"> </w:t>
      </w:r>
    </w:p>
    <w:p>
      <w:pPr>
        <w:jc w:val="center"/>
        <w:spacing w:before="240" w:after="0"/>
      </w:pPr>
      <w:r>
        <w:rPr>
          <w:rFonts w:ascii="Times New Roman" w:hAnsi="Times New Roman" w:eastAsia="Times New Roman" w:cs="Times New Roman"/>
          <w:sz w:val="20"/>
          <w:szCs w:val="20"/>
          <w:b w:val="1"/>
          <w:bCs w:val="1"/>
        </w:rPr>
        <w:t xml:space="preserve">CURRENT REPORT </w:t>
      </w:r>
    </w:p>
    <w:p>
      <w:pPr>
        <w:jc w:val="center"/>
        <w:spacing w:before="0" w:after="0"/>
      </w:pPr>
      <w:r>
        <w:rPr>
          <w:rFonts w:ascii="Times New Roman" w:hAnsi="Times New Roman" w:eastAsia="Times New Roman" w:cs="Times New Roman"/>
          <w:sz w:val="20"/>
          <w:szCs w:val="20"/>
          <w:b w:val="1"/>
          <w:bCs w:val="1"/>
        </w:rPr>
        <w:t xml:space="preserve">Pursuantto Section 13 or 15(d) </w:t>
      </w:r>
    </w:p>
    <w:p>
      <w:pPr>
        <w:jc w:val="center"/>
        <w:spacing w:before="0" w:after="0"/>
      </w:pPr>
      <w:r>
        <w:rPr>
          <w:rFonts w:ascii="Times New Roman" w:hAnsi="Times New Roman" w:eastAsia="Times New Roman" w:cs="Times New Roman"/>
          <w:sz w:val="20"/>
          <w:szCs w:val="20"/>
          <w:b w:val="1"/>
          <w:bCs w:val="1"/>
        </w:rPr>
        <w:t xml:space="preserve">of the Securities Exchange Act of 1934 </w:t>
      </w:r>
    </w:p>
    <w:p>
      <w:pPr>
        <w:jc w:val="center"/>
        <w:spacing w:before="240" w:after="0"/>
      </w:pPr>
      <w:r>
        <w:rPr>
          <w:rFonts w:ascii="Times New Roman" w:hAnsi="Times New Roman" w:eastAsia="Times New Roman" w:cs="Times New Roman"/>
          <w:sz w:val="20"/>
          <w:szCs w:val="20"/>
          <w:b w:val="1"/>
          <w:bCs w:val="1"/>
        </w:rPr>
        <w:t xml:space="preserve">Date of Report (Date of Earliest Event Reported): December 11, 2018 </w:t>
      </w:r>
    </w:p>
    <w:p>
      <w:pPr>
        <w:jc w:val="start"/>
        <w:spacing w:before="0" w:after="0"/>
      </w:pPr>
      <w:r>
        <w:rPr>
          <w:sz w:val="24"/>
          <w:szCs w:val="24"/>
        </w:rPr>
        <w:t xml:space="preserve"> </w:t>
      </w:r>
    </w:p>
    <w:p>
      <w:pPr>
        <w:jc w:val="start"/>
        <w:spacing w:before="0" w:after="40" w:line="20" w:lineRule="exact"/>
      </w:pPr>
      <w:r>
        <w:rPr/>
        <w:t xml:space="preserve"> </w:t>
      </w:r>
    </w:p>
    <w:p>
      <w:pPr>
        <w:jc w:val="center"/>
        <w:spacing w:before="240" w:after="0"/>
      </w:pPr>
      <w:r>
        <w:rPr>
          <w:rFonts w:ascii="Times New Roman" w:hAnsi="Times New Roman" w:eastAsia="Times New Roman" w:cs="Times New Roman"/>
          <w:sz w:val="40"/>
          <w:szCs w:val="40"/>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20"/>
          <w:szCs w:val="20"/>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20"/>
          <w:szCs w:val="20"/>
        </w:rPr>
        <w:t xml:space="preserve">(Registrants name or former address, if change since last report) </w:t>
      </w:r>
    </w:p>
    <w:p>
      <w:pPr>
        <w:jc w:val="start"/>
        <w:spacing w:before="0" w:after="0"/>
      </w:pPr>
      <w:r>
        <w:rPr>
          <w:sz w:val="24"/>
          <w:szCs w:val="24"/>
        </w:rPr>
        <w:t xml:space="preserve"> </w:t>
      </w:r>
    </w:p>
    <w:p>
      <w:pPr>
        <w:jc w:val="start"/>
        <w:spacing w:before="0" w:after="40" w:line="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w:t>
      </w:r>
    </w:p>
    <w:p>
      <w:pPr>
        <w:jc w:val="start"/>
        <w:spacing w:before="0" w:after="0"/>
      </w:pPr>
      <w:r>
        <w:rPr>
          <w:rFonts w:ascii="Times New Roman" w:hAnsi="Times New Roman" w:eastAsia="Times New Roman" w:cs="Times New Roman"/>
          <w:sz w:val="20"/>
          <w:szCs w:val="20"/>
        </w:rPr>
        <w:t xml:space="preserve">transition period for complying with any new or revised financial accounting standards pursuant to Section 13(a) of the Exchange Act. ☐ </w:t>
      </w:r>
    </w:p>
    <w:p>
      <w:pPr/>
    </w:p>
    <w:p>
      <w:pPr>
        <w:jc w:val="start"/>
        <w:spacing w:before="120" w:after="120" w:line="240" w:lineRule="auto"/>
        <w:pBdr>
          <w:bottom w:val="single" w:sz="1" w:color="999999"/>
        </w:pBdr>
      </w:pPr>
      <w:r>
        <w:rPr>
          <w:color w:val="999999"/>
          <w:sz w:val="6"/>
          <w:szCs w:val="6"/>
        </w:rPr>
        <w:t xml:space="preserve"/>
      </w:r>
    </w:p>
    <w:tbl>
      <w:tblGrid>
        <w:gridCol w:w="4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450" w:type="pct"/>
            <w:vAlign w:val="top"/>
            <w:noWrap/>
          </w:tcPr>
          <w:p>
            <w:pPr>
              <w:jc w:val="start"/>
            </w:pPr>
            <w:r>
              <w:rPr>
                <w:rFonts w:ascii="Times New Roman" w:hAnsi="Times New Roman" w:eastAsia="Times New Roman" w:cs="Times New Roman"/>
                <w:sz w:val="20"/>
                <w:szCs w:val="20"/>
                <w:b w:val="1"/>
                <w:bCs w:val="1"/>
              </w:rPr>
              <w:t xml:space="preserve">Item 3.01.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Notice of Delisting or Failure to Satisfy a Continued Listing Rule or Standard; Transfer of Listing.</w:t>
            </w:r>
          </w:p>
        </w:tc>
      </w:tr>
    </w:tbl>
    <w:p>
      <w:pPr>
        <w:jc w:val="start"/>
        <w:spacing w:before="120" w:after="0"/>
      </w:pPr>
      <w:r>
        <w:rPr>
          <w:rFonts w:ascii="Times New Roman" w:hAnsi="Times New Roman" w:eastAsia="Times New Roman" w:cs="Times New Roman"/>
          <w:sz w:val="20"/>
          <w:szCs w:val="20"/>
        </w:rPr>
        <w:t xml:space="preserve">As previously reported, on December 10, 2018, Avista Healthcare Public Acquisition Corp., our predecessor company(AHPAC), consummated a business combination (the Business Combination) pursuant to that certain Agreement and Plan of Merger, dated as of August 17, 2018 (as amended, the Merger Agreement), by and amongAHPAC, Avista Healthcare Merger Sub, Inc., a Delaware corporation and a direct wholly owned subsidiary of AHPAC (Merger Sub) and Organogenesis Inc., a Delaware corporation (Organogenesis). As a result of the BusinessCombination and the other transactions contemplated by the Merger Agreement, Merger Sub merged with and into Organogenesis, with Organogenesis surviving the merger (the Merger). In addition, in connection with the BusinessCombination, and in accordance with Section 388 of the Delaware General Corporation Law and the Cayman Islands Companies Law (2018 Revision), AHPAC redomesticated as a Delaware corporation (the Domestication). After theDomestication, AHPAC changed its name to Organogenesis Holdings Inc.. We refer to AHPAC following the effectiveness of the domestication as ORGO or the Company. As a result of the Merger,Organogenesis became a wholly owned direct subsidiary of ORGO. </w:t>
      </w:r>
    </w:p>
    <w:p>
      <w:pPr>
        <w:jc w:val="start"/>
        <w:spacing w:before="240" w:after="0"/>
      </w:pPr>
      <w:r>
        <w:rPr>
          <w:rFonts w:ascii="Times New Roman" w:hAnsi="Times New Roman" w:eastAsia="Times New Roman" w:cs="Times New Roman"/>
          <w:sz w:val="20"/>
          <w:szCs w:val="20"/>
        </w:rPr>
        <w:t xml:space="preserve">On December 11, 2018, ORGO received a written notice (the Notice) fromthe Listing Qualifications Department of The NASDAQ Stock Market (NASDAQ) indicating that the Staff has determined that ORGO has not complied with the requirements of</w:t>
      </w:r>
      <w:r>
        <w:rPr>
          <w:rFonts w:ascii="Times New Roman" w:hAnsi="Times New Roman" w:eastAsia="Times New Roman" w:cs="Times New Roman"/>
          <w:sz w:val="20"/>
          <w:szCs w:val="20"/>
        </w:rPr>
        <w:t xml:space="preserve">IM-5101-2</w:t>
      </w:r>
      <w:r>
        <w:rPr>
          <w:rFonts w:ascii="Times New Roman" w:hAnsi="Times New Roman" w:eastAsia="Times New Roman" w:cs="Times New Roman"/>
          <w:sz w:val="20"/>
          <w:szCs w:val="20"/>
        </w:rPr>
        <w:t xml:space="preserve"> since ORGO has not demonstrated compliance with all of the requirements for initial listing on The Nasdaq Capital Market (the deficiency).Specifically, the Staff has determined that ORGOs Class A common stock does not meet the minimum 300 round lot holder requirement for initial listing as required by Listing Rule 5505(a)(3), and ORGOs public warrants do not meet theminimum 400 round lot holder requirement for initial listing as required by Listing Rule 5515(a)(4). </w:t>
      </w:r>
    </w:p>
    <w:p>
      <w:pPr>
        <w:jc w:val="start"/>
        <w:spacing w:before="240" w:after="0"/>
      </w:pPr>
      <w:r>
        <w:rPr>
          <w:rFonts w:ascii="Times New Roman" w:hAnsi="Times New Roman" w:eastAsia="Times New Roman" w:cs="Times New Roman"/>
          <w:sz w:val="20"/>
          <w:szCs w:val="20"/>
        </w:rPr>
        <w:t xml:space="preserve">NASDAQ had issued a delisting notice onNovember 2, 2018 in respect of the AHPAC units, AHPAC Class A ordinary shares and AHPAC warrants to purchase Class A ordinary shares. On November 9, 2018, AHPAC submitted a request for an oral hearing before the Hearings Panel toappeal the delisting determination pursuant to the procedures set forth in the NASDAQ rules. That hearing is scheduled to take place on December 13, 2018. The Notice confirms that the Nasdaq Hearings Panel will consider the deficiency inrendering its determination regarding ORGOs continued listing on The Nasdaq Capital Market. </w:t>
      </w:r>
    </w:p>
    <w:p>
      <w:pPr>
        <w:jc w:val="start"/>
        <w:spacing w:before="240" w:after="0"/>
      </w:pPr>
      <w:r>
        <w:rPr>
          <w:rFonts w:ascii="Times New Roman" w:hAnsi="Times New Roman" w:eastAsia="Times New Roman" w:cs="Times New Roman"/>
          <w:sz w:val="20"/>
          <w:szCs w:val="20"/>
        </w:rPr>
        <w:t xml:space="preserve">The Company can provide no assurance that, followingthe hearing, the hearings panel will grant the Companys request for continued listing or that the Company can maintain compliance with the other NASDAQ Listing Rules. </w:t>
      </w:r>
    </w:p>
    <w:p>
      <w:pPr>
        <w:jc w:val="start"/>
        <w:spacing w:before="360" w:after="0"/>
      </w:pPr>
      <w:r>
        <w:rPr>
          <w:rFonts w:ascii="Times New Roman" w:hAnsi="Times New Roman" w:eastAsia="Times New Roman" w:cs="Times New Roman"/>
          <w:sz w:val="20"/>
          <w:szCs w:val="20"/>
          <w:b w:val="1"/>
          <w:bCs w:val="1"/>
        </w:rPr>
        <w:t xml:space="preserve">Forward-Looking Statements </w:t>
      </w:r>
    </w:p>
    <w:p>
      <w:pPr>
        <w:jc w:val="start"/>
        <w:spacing w:before="120" w:after="0"/>
      </w:pPr>
      <w:r>
        <w:rPr>
          <w:rFonts w:ascii="Times New Roman" w:hAnsi="Times New Roman" w:eastAsia="Times New Roman" w:cs="Times New Roman"/>
          <w:sz w:val="20"/>
          <w:szCs w:val="20"/>
        </w:rPr>
        <w:t xml:space="preserve">The Company makesforward-looking statements in this report within the meaning of the Private Securities Litigation Reform Act of 1995. These forward-looking statements relate to expectations or forecasts for future events. Forward-looking statements may beidentified by the use of words such as will, forecast, intend, seek, target, anticipate, believe, expect, estimate, plan,outlook, extend, and project and other similar expressions that predict or indicate future events or trends or that are not statements of historical matters. Such forward looking statements include statementsrelating to the Companys request for continued listing and ability to maintain compliance with applicable NASDAQ listing rules. Forward looking statements with respect to the continued existence and operations of the Company, strategies,prospects and other aspects of the businesses of the Company are based on current expectations that are subject to known and unknown risks and uncertainties, which could cause actual results or outcomes to differ materially from expectationsexpressed or implied by such forward looking statements. These factors include, but are not limited to: (1) the Companys ability to successfully appeal NASDAQs determination to delist the securities and otherwise maintain compliancewith applicable NASDAQ listing standards; (2) the risk that the proposed business combination disrupts current plans and operations of Organogenesis as a result of the announcement and consummation of the transactions described herein;(3) the ability to recognize the anticipated benefits of the business combination, which may be affected by, among other things, competition, the ability of the combined company to grow and manage growth profitably, maintain relationships withcustomers and suppliers and retain its management and key employees; (4) changes in applicable laws or regulations; (5) the possibility that The Company may be adversely affected by other economic, business, and/or competitive factors; and(6) other risks and uncertainties described in other documents filed or to be filed with the Securities and Exchange Commission (SEC) by the Company. Although they may voluntarily do so from time to time, the Company undertakes nocommitment to update or revise the forward-looking statements, whether as a result of new information, future events or otherwise, except as required by applicable securities laws.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12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/s/ Timothy M. Cunningham</w:t>
            </w:r>
          </w:p>
        </w:tc>
      </w:tr>
      <w:tr>
        <w:trPr/>
        <w:tc>
          <w:tcPr>
            <w:tcW w:w="2000" w:type="pct"/>
            <w:vAlign w:val="top"/>
            <w:noWrap/>
          </w:tcPr>
          <w:p>
            <w:pPr>
              <w:jc w:val="end"/>
              <w:spacing w:before="0" w:after="0"/>
            </w:pPr>
            <w:r>
              <w:rPr>
                <w:rFonts w:ascii="Times New Roman" w:hAnsi="Times New Roman" w:eastAsia="Times New Roman" w:cs="Times New Roman"/>
                <w:sz w:val="20"/>
                <w:szCs w:val="20"/>
              </w:rPr>
              <w:t xml:space="preserve">Name:</w:t>
            </w:r>
          </w:p>
          <w:p>
            <w:pPr>
              <w:jc w:val="end"/>
              <w:spacing w:before="0" w:after="20"/>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0"/>
            </w:pPr>
            <w:r>
              <w:rPr>
                <w:rFonts w:ascii="Times New Roman" w:hAnsi="Times New Roman" w:eastAsia="Times New Roman" w:cs="Times New Roman"/>
                <w:sz w:val="20"/>
                <w:szCs w:val="20"/>
              </w:rPr>
              <w:t xml:space="preserve">Timothy M. Cunningham</w:t>
            </w:r>
          </w:p>
          <w:p>
            <w:pPr>
              <w:jc w:val="end"/>
              <w:spacing w:before="0" w:after="20"/>
            </w:pPr>
            <w:r>
              <w:rPr>
                <w:rFonts w:ascii="Times New Roman" w:hAnsi="Times New Roman" w:eastAsia="Times New Roman" w:cs="Times New Roman"/>
                <w:sz w:val="20"/>
                <w:szCs w:val="20"/>
              </w:rPr>
              <w:t xml:space="preserve">Chief FinancialOfficer</w:t>
            </w:r>
          </w:p>
        </w:tc>
      </w:tr>
    </w:tbl>
    <w:p>
      <w:pPr>
        <w:jc w:val="start"/>
        <w:spacing w:before="360" w:after="0"/>
      </w:pPr>
      <w:r>
        <w:rPr>
          <w:rFonts w:ascii="Times New Roman" w:hAnsi="Times New Roman" w:eastAsia="Times New Roman" w:cs="Times New Roman"/>
          <w:sz w:val="20"/>
          <w:szCs w:val="20"/>
        </w:rPr>
        <w:t xml:space="preserve">Date: December 12, 2018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2026-08-08T03:40:20-04:00</dcterms:created>
  <dcterms:modified xsi:type="dcterms:W3CDTF">2026-08-08T03:40:20-04:00</dcterms:modified>
</cp:coreProperties>
</file>

<file path=docProps/custom.xml><?xml version="1.0" encoding="utf-8"?>
<Properties xmlns="http://schemas.openxmlformats.org/officeDocument/2006/custom-properties" xmlns:vt="http://schemas.openxmlformats.org/officeDocument/2006/docPropsVTypes"/>
</file>