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8-K</w:t>
      </w:r>
    </w:p>
    <w:p>
      <w:pPr/>
      <w:r>
        <w:rPr/>
        <w:t xml:space="preserve">1</w:t>
      </w:r>
    </w:p>
    <w:p>
      <w:pPr/>
      <w:r>
        <w:rPr/>
        <w:t xml:space="preserve">d687304d8k.htm</w:t>
      </w:r>
    </w:p>
    <w:p>
      <w:pPr/>
      <w:r>
        <w:rPr/>
        <w:t xml:space="preserve">FORM 8-K</w:t>
      </w:r>
    </w:p>
    <w:p>
      <w:pPr/>
      <w:r>
        <w:rPr/>
        <w:t xml:space="preserve">Form 8-K</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 </w:t>
      </w:r>
    </w:p>
    <w:p>
      <w:pPr>
        <w:jc w:val="center"/>
        <w:spacing w:before="0" w:after="0"/>
      </w:pPr>
      <w:r>
        <w:rPr>
          <w:rFonts w:ascii="Times New Roman" w:hAnsi="Times New Roman" w:eastAsia="Times New Roman" w:cs="Times New Roman"/>
          <w:sz w:val="36"/>
          <w:szCs w:val="36"/>
          <w:b w:val="1"/>
          <w:bCs w:val="1"/>
        </w:rPr>
        <w:t xml:space="preserve">SECURITIES AND EXCHANGE COMMISSION </w:t>
      </w:r>
    </w:p>
    <w:p>
      <w:pPr>
        <w:jc w:val="center"/>
        <w:spacing w:before="0" w:after="0"/>
      </w:pPr>
      <w:r>
        <w:rPr>
          <w:rFonts w:ascii="Times New Roman" w:hAnsi="Times New Roman" w:eastAsia="Times New Roman" w:cs="Times New Roman"/>
          <w:sz w:val="24"/>
          <w:szCs w:val="24"/>
          <w:b w:val="1"/>
          <w:bCs w:val="1"/>
        </w:rPr>
        <w:t xml:space="preserve">Washington, D.C. 20549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24"/>
          <w:szCs w:val="24"/>
          <w:b w:val="1"/>
          <w:bCs w:val="1"/>
        </w:rPr>
        <w:t xml:space="preserve">CURRENTREPORT </w:t>
      </w:r>
    </w:p>
    <w:p>
      <w:pPr>
        <w:jc w:val="center"/>
        <w:spacing w:before="0" w:after="0"/>
      </w:pPr>
      <w:r>
        <w:rPr>
          <w:rFonts w:ascii="Times New Roman" w:hAnsi="Times New Roman" w:eastAsia="Times New Roman" w:cs="Times New Roman"/>
          <w:sz w:val="24"/>
          <w:szCs w:val="24"/>
          <w:b w:val="1"/>
          <w:bCs w:val="1"/>
        </w:rPr>
        <w:t xml:space="preserve">Pursuant to Section 13 or 15(d) </w:t>
      </w:r>
    </w:p>
    <w:p>
      <w:pPr>
        <w:jc w:val="center"/>
        <w:spacing w:before="0" w:after="0"/>
      </w:pPr>
      <w:r>
        <w:rPr>
          <w:rFonts w:ascii="Times New Roman" w:hAnsi="Times New Roman" w:eastAsia="Times New Roman" w:cs="Times New Roman"/>
          <w:sz w:val="24"/>
          <w:szCs w:val="24"/>
          <w:b w:val="1"/>
          <w:bCs w:val="1"/>
        </w:rPr>
        <w:t xml:space="preserve">of the Securities Exchange Act of 1934 </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January 4, 2019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48"/>
          <w:szCs w:val="48"/>
          <w:b w:val="1"/>
          <w:bCs w:val="1"/>
        </w:rPr>
        <w:t xml:space="preserve">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jc w:val="center"/>
        <w:tblW w:w="5000" w:type="pct"/>
        <w:tblCellSpacing w:w="0" w:type="dxa"/>
        <w:tblLayout w:type="autofit"/>
        <w:tblBorders>
          <w:top w:val="single" w:sz="0"/>
          <w:left w:val="single" w:sz="0"/>
          <w:right w:val="single" w:sz="0"/>
          <w:bottom w:val="single" w:sz="0"/>
          <w:insideH w:val="single" w:sz="0"/>
          <w:insideV w:val="single" w:sz="0"/>
        </w:tblBorders>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gridSpan w:val="3"/>
            <w:noWrap/>
          </w:tcPr>
          <w:p>
            <w:pPr/>
          </w:p>
        </w:tc>
        <w:tc>
          <w:tcPr>
            <w:tcW w:w="5000" w:type="pct"/>
            <w:gridSpan w:val="2"/>
            <w:noWrap/>
          </w:tcPr>
          <w:p>
            <w:pPr/>
          </w:p>
        </w:tc>
      </w:tr>
      <w:tr>
        <w:trPr/>
        <w:tc>
          <w:tcPr>
            <w:tcW w:w="5000" w:type="pct"/>
            <w:vAlign w:val="top"/>
            <w:gridSpan w:val="3"/>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gridSpan w:val="3"/>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r>
        <w:rPr>
          <w:rFonts w:ascii="Times New Roman" w:hAnsi="Times New Roman" w:eastAsia="Times New Roman" w:cs="Times New Roman"/>
          <w:sz w:val="20"/>
          <w:szCs w:val="20"/>
          <w:b w:val="1"/>
          <w:bCs w:val="1"/>
        </w:rPr>
        <w:t xml:space="preserve"> </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 </w:t>
      </w:r>
    </w:p>
    <w:p>
      <w:pPr>
        <w:jc w:val="center"/>
        <w:spacing w:before="240" w:after="0"/>
      </w:pPr>
      <w:r>
        <w:rPr>
          <w:rFonts w:ascii="Times New Roman" w:hAnsi="Times New Roman" w:eastAsia="Times New Roman" w:cs="Times New Roman"/>
          <w:sz w:val="20"/>
          <w:szCs w:val="20"/>
          <w:b w:val="1"/>
          <w:bCs w:val="1"/>
        </w:rPr>
        <w:t xml:space="preserve">Not Applicable </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ofthe registrant under any of the following provisions: </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 </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 </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complyingwith any new or revised financial accounting standards pursuant to Section 13(a) of the Exchange Act.  ☐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p>
    <w:p>
      <w:pPr>
        <w:jc w:val="start"/>
        <w:spacing w:before="120" w:after="120" w:line="240" w:lineRule="auto"/>
        <w:pBdr>
          <w:bottom w:val="single" w:sz="1" w:color="999999"/>
        </w:pBdr>
      </w:pPr>
      <w:r>
        <w:rPr>
          <w:color w:val="999999"/>
          <w:sz w:val="6"/>
          <w:szCs w:val="6"/>
        </w:rPr>
        <w:t xml:space="preserve"/>
      </w:r>
    </w:p>
    <w:tbl>
      <w:tblGrid>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500" w:type="pct"/>
            <w:vAlign w:val="top"/>
            <w:noWrap/>
          </w:tcPr>
          <w:p>
            <w:pPr>
              <w:jc w:val="start"/>
            </w:pPr>
            <w:r>
              <w:rPr>
                <w:rFonts w:ascii="Times New Roman" w:hAnsi="Times New Roman" w:eastAsia="Times New Roman" w:cs="Times New Roman"/>
                <w:sz w:val="20"/>
                <w:szCs w:val="20"/>
                <w:b w:val="1"/>
                <w:bCs w:val="1"/>
              </w:rPr>
              <w:t xml:space="preserve">Item 3.01.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Notice of Delisting or Failure to Satisfy a Continued Listing Rule or Standard; Transfer of Listing.</w:t>
            </w:r>
          </w:p>
        </w:tc>
      </w:tr>
    </w:tbl>
    <w:p>
      <w:pPr>
        <w:jc w:val="start"/>
        <w:spacing w:before="120" w:after="0"/>
      </w:pPr>
      <w:r>
        <w:rPr>
          <w:rFonts w:ascii="Times New Roman" w:hAnsi="Times New Roman" w:eastAsia="Times New Roman" w:cs="Times New Roman"/>
          <w:sz w:val="20"/>
          <w:szCs w:val="20"/>
        </w:rPr>
        <w:t xml:space="preserve">By letter dated January 4, 2019 (the Decision), Organogenesis Holdings Inc. (the Company) was notifiedby The Nasdaq Stock Market LLC (Nasdaq) that the Nasdaq Hearings Panel (the Panel) had determined to delist the Companys warrants from The Nasdaq Stock Market due to the Companys</w:t>
      </w:r>
      <w:r>
        <w:rPr>
          <w:rFonts w:ascii="Times New Roman" w:hAnsi="Times New Roman" w:eastAsia="Times New Roman" w:cs="Times New Roman"/>
          <w:sz w:val="20"/>
          <w:szCs w:val="20"/>
        </w:rPr>
        <w:t xml:space="preserve">non-compliance</w:t>
      </w:r>
      <w:r>
        <w:rPr>
          <w:rFonts w:ascii="Times New Roman" w:hAnsi="Times New Roman" w:eastAsia="Times New Roman" w:cs="Times New Roman"/>
          <w:sz w:val="20"/>
          <w:szCs w:val="20"/>
        </w:rPr>
        <w:t xml:space="preserve"> with the minimum 400 round lot holder requirement for initial listing on The Nasdaq Capital Market, as required by Nasdaq Listing Rule 5515(a)(4). Accordingly, the trading halt in theCompanys warrants will be converted to a trading suspension effective at the open of the market on January 8, 2019, at which time the warrants are expected to be eligible to trade </w:t>
      </w:r>
      <w:r>
        <w:rPr>
          <w:rFonts w:ascii="Times New Roman" w:hAnsi="Times New Roman" w:eastAsia="Times New Roman" w:cs="Times New Roman"/>
          <w:sz w:val="20"/>
          <w:szCs w:val="20"/>
        </w:rPr>
        <w:t xml:space="preserve">over-the-counter</w:t>
      </w:r>
      <w:r>
        <w:rPr>
          <w:rFonts w:ascii="Times New Roman" w:hAnsi="Times New Roman" w:eastAsia="Times New Roman" w:cs="Times New Roman"/>
          <w:sz w:val="20"/>
          <w:szCs w:val="20"/>
        </w:rPr>
        <w:t xml:space="preserve"> under the trading symbol ORGOW. Information regarding OTC Markets can be found at www.otcmarkets.com. Following the expiration of all review periods, Nasdaq will filea Form 25 with the Securities and Exchange Commission to formally delist the Companys warrants. </w:t>
      </w:r>
    </w:p>
    <w:p>
      <w:pPr>
        <w:jc w:val="start"/>
        <w:spacing w:before="0" w:after="0"/>
      </w:pPr>
      <w:r>
        <w:rPr>
          <w:sz w:val="36"/>
          <w:szCs w:val="36"/>
        </w:rPr>
        <w:t xml:space="preserve"> </w:t>
      </w:r>
    </w:p>
    <w:tbl>
      <w:tblGrid>
        <w:gridCol w:w="5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50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Matters. </w:t>
            </w:r>
          </w:p>
        </w:tc>
      </w:tr>
    </w:tbl>
    <w:p>
      <w:pPr>
        <w:jc w:val="start"/>
        <w:spacing w:before="120" w:after="0"/>
      </w:pPr>
      <w:r>
        <w:rPr>
          <w:rFonts w:ascii="Times New Roman" w:hAnsi="Times New Roman" w:eastAsia="Times New Roman" w:cs="Times New Roman"/>
          <w:sz w:val="20"/>
          <w:szCs w:val="20"/>
        </w:rPr>
        <w:t xml:space="preserve">The Decision also indicated that, based on the plan of compliance presented by the Company at the hearing held on December 13, 2018, the Panel had grantedthe Companys request for the continued listing of its Class A common stock on The Nasdaq Stock Market. Pursuant to the Panels decision, on or before March 31, 2019, the Company is required to demonstrate to the satisfaction ofStaff and the Panel that it has a minimum of 300 round lot common shareholders and that it otherwise meets all applicable requirements for listing on Nasdaq., </w:t>
      </w:r>
    </w:p>
    <w:p>
      <w:pPr>
        <w:jc w:val="start"/>
        <w:spacing w:before="240" w:after="0"/>
      </w:pPr>
      <w:r>
        <w:rPr>
          <w:rFonts w:ascii="Times New Roman" w:hAnsi="Times New Roman" w:eastAsia="Times New Roman" w:cs="Times New Roman"/>
          <w:sz w:val="20"/>
          <w:szCs w:val="20"/>
        </w:rPr>
        <w:t xml:space="preserve">In furtherance of the Panels decision, the trading halt of the Companys Class A common stock, which was initiated on October 30, 2018,will be lifted at the open of the market on January 8, 2019, at which time the Companys Class A common stock will resume trading on The Nasdaq Capital Market. The halt will be lifted notwithstanding the Companys </w:t>
      </w:r>
      <w:r>
        <w:rPr>
          <w:rFonts w:ascii="Times New Roman" w:hAnsi="Times New Roman" w:eastAsia="Times New Roman" w:cs="Times New Roman"/>
          <w:sz w:val="20"/>
          <w:szCs w:val="20"/>
        </w:rPr>
        <w:t xml:space="preserve">non-compliance</w:t>
      </w:r>
      <w:r>
        <w:rPr>
          <w:rFonts w:ascii="Times New Roman" w:hAnsi="Times New Roman" w:eastAsia="Times New Roman" w:cs="Times New Roman"/>
          <w:sz w:val="20"/>
          <w:szCs w:val="20"/>
        </w:rPr>
        <w:t xml:space="preserve"> with the round lot shareholder requirement for its common stock to allow the Company to execute its plan of compliance. </w:t>
      </w:r>
    </w:p>
    <w:p>
      <w:pPr>
        <w:jc w:val="start"/>
        <w:spacing w:before="240" w:after="0"/>
      </w:pPr>
      <w:r>
        <w:rPr>
          <w:rFonts w:ascii="Times New Roman" w:hAnsi="Times New Roman" w:eastAsia="Times New Roman" w:cs="Times New Roman"/>
          <w:sz w:val="20"/>
          <w:szCs w:val="20"/>
        </w:rPr>
        <w:t xml:space="preserve">Although the Company is taking definitive steps to timely evidence compliance with the terms of the Panels decision, there can be no assurance that itwill be able to do so and, in the event the Company is unable to demonstrate to the satisfaction of Staff and the Panel that it has a minimum of 300 round lot common shareholders and that it otherwise meets all applicable requirements for listing onNasdaq by March 31, 2019, the Companys Class A common stock would be subject to suspension and delisting. In addition, the Decision is subject to call for review by the Nasdaq Listing and Hearing Review Council (theListing Council), on its own motion, for 45 calendar days following the date of the Decision. In the event the Listing Council calls this matter for review, it may affirm, modify or reverse the decision of the Panel. </w:t>
      </w:r>
    </w:p>
    <w:p>
      <w:pPr>
        <w:jc w:val="start"/>
        <w:spacing w:before="360" w:after="0"/>
      </w:pPr>
      <w:r>
        <w:rPr>
          <w:rFonts w:ascii="Times New Roman" w:hAnsi="Times New Roman" w:eastAsia="Times New Roman" w:cs="Times New Roman"/>
          <w:sz w:val="20"/>
          <w:szCs w:val="20"/>
          <w:b w:val="1"/>
          <w:bCs w:val="1"/>
        </w:rPr>
        <w:t xml:space="preserve">Forward-Looking Statements </w:t>
      </w:r>
    </w:p>
    <w:p>
      <w:pPr>
        <w:jc w:val="start"/>
        <w:spacing w:before="120" w:after="0"/>
      </w:pPr>
      <w:r>
        <w:rPr>
          <w:rFonts w:ascii="Times New Roman" w:hAnsi="Times New Roman" w:eastAsia="Times New Roman" w:cs="Times New Roman"/>
          <w:sz w:val="20"/>
          <w:szCs w:val="20"/>
        </w:rPr>
        <w:t xml:space="preserve">The Company makesforward-looking statements in this report within the meaning of the Private Securities Litigation Reform Act of 1995. These forward-looking statements relate to expectations or forecasts for future events. Forward-looking statements may beidentified by the use of words such as will, forecast, intend, seek, target, anticipate, believe, expect, estimate, plan,outlook, extend, and project and other similar expressions that predict or indicate future events or trends or that are not statements of historical matters. Such forward looking statements include statementsrelating to the Companys ability to demonstrate compliance with the 300 round lot shareholder requirement and other applicable listing standards and maintain compliance with all applicable Nasdaq listing rules. Forward looking statements withrespect to the continued listing of the Companys Class A common stock are based on current expectations that are subject to known and unknown risks and uncertainties, which could cause actual results or outcomes to differ materially fromexpectations expressed or implied by such forward looking statements. These factors include, but are not limited to: (1) the Companys ability to successfully implement its plan of compliance to increase the number of round lot holders ofits Class A common stock and otherwise maintain compliance with applicable Nasdaq listing standards; (2) the Companys ability to recognize the benefits of its recent business combination, which may be affected by, among other things,competition, the ability of the combined company to grow and manage growth profitably, maintain relationships with customers and suppliers and retain its management and key employees; (3) changes in applicable laws or regulations; (4) thepossibility that the Company may be adversely affected by other economic, business, and/or competitive factors; and (5) other risks and uncertainties described in other documents filed or to be filed by the Company with the Securities andExchange Commission. Although they may voluntarily do so from time to time, the Company undertakes no commitment to update or revise the forward-looking statements, whether as a result of new information, future events or otherwise, except asrequired by applicable securities laws. </w:t>
      </w:r>
    </w:p>
    <w:p>
      <w:pPr/>
    </w:p>
    <w:p>
      <w:pPr>
        <w:jc w:val="start"/>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top"/>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January 7, 2019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2026-08-07T12:19:59-04:00</dcterms:created>
  <dcterms:modified xsi:type="dcterms:W3CDTF">2026-08-07T12:19:59-04:00</dcterms:modified>
</cp:coreProperties>
</file>

<file path=docProps/custom.xml><?xml version="1.0" encoding="utf-8"?>
<Properties xmlns="http://schemas.openxmlformats.org/officeDocument/2006/custom-properties" xmlns:vt="http://schemas.openxmlformats.org/officeDocument/2006/docPropsVTypes"/>
</file>