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8-K</w:t>
      </w:r>
    </w:p>
    <w:p>
      <w:pPr/>
      <w:r>
        <w:rPr/>
        <w:t xml:space="preserve">1</w:t>
      </w:r>
    </w:p>
    <w:p>
      <w:pPr/>
      <w:r>
        <w:rPr/>
        <w:t xml:space="preserve">d718868d8k.htm</w:t>
      </w:r>
    </w:p>
    <w:p>
      <w:pPr/>
      <w:r>
        <w:rPr/>
        <w:t xml:space="preserve">8-K</w:t>
      </w:r>
    </w:p>
    <w:p>
      <w:pPr/>
      <w:r>
        <w:rPr/>
        <w:t xml:space="preserve">8-K</w:t>
      </w:r>
    </w:p>
    <w:p>
      <w:pPr>
        <w:jc w:val="start"/>
        <w:spacing w:before="0" w:after="0" w:line="20" w:lineRule="exact"/>
      </w:pPr>
      <w:r>
        <w:rPr/>
        <w:t xml:space="preserve"> </w:t>
      </w:r>
    </w:p>
    <w:p>
      <w:pPr>
        <w:jc w:val="start"/>
        <w:spacing w:before="0" w:after="40" w:line="60" w:lineRule="exact"/>
      </w:pPr>
      <w:r>
        <w:rPr/>
        <w:t xml:space="preserve"> </w:t>
      </w:r>
    </w:p>
    <w:p>
      <w:pPr>
        <w:jc w:val="center"/>
        <w:spacing w:before="240" w:after="0"/>
      </w:pPr>
      <w:r>
        <w:rPr>
          <w:rFonts w:ascii="Times New Roman" w:hAnsi="Times New Roman" w:eastAsia="Times New Roman" w:cs="Times New Roman"/>
          <w:sz w:val="36"/>
          <w:szCs w:val="36"/>
          <w:b w:val="1"/>
          <w:bCs w:val="1"/>
        </w:rPr>
        <w:t xml:space="preserve">UNITED STATES </w:t>
      </w:r>
    </w:p>
    <w:p>
      <w:pPr>
        <w:jc w:val="center"/>
        <w:spacing w:before="0" w:after="0"/>
      </w:pPr>
      <w:r>
        <w:rPr>
          <w:rFonts w:ascii="Times New Roman" w:hAnsi="Times New Roman" w:eastAsia="Times New Roman" w:cs="Times New Roman"/>
          <w:sz w:val="36"/>
          <w:szCs w:val="36"/>
          <w:b w:val="1"/>
          <w:bCs w:val="1"/>
        </w:rPr>
        <w:t xml:space="preserve">SECURITIES AND EXCHANGE COMMISSION </w:t>
      </w:r>
    </w:p>
    <w:p>
      <w:pPr>
        <w:jc w:val="center"/>
        <w:spacing w:before="0" w:after="0"/>
      </w:pPr>
      <w:r>
        <w:rPr>
          <w:rFonts w:ascii="Times New Roman" w:hAnsi="Times New Roman" w:eastAsia="Times New Roman" w:cs="Times New Roman"/>
          <w:sz w:val="24"/>
          <w:szCs w:val="24"/>
          <w:b w:val="1"/>
          <w:bCs w:val="1"/>
        </w:rPr>
        <w:t xml:space="preserve">Washington, D.C. 20549 </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24"/>
          <w:szCs w:val="24"/>
          <w:b w:val="1"/>
          <w:bCs w:val="1"/>
        </w:rPr>
        <w:t xml:space="preserve">CURRENTREPORT </w:t>
      </w:r>
    </w:p>
    <w:p>
      <w:pPr>
        <w:jc w:val="center"/>
        <w:spacing w:before="0" w:after="0"/>
      </w:pPr>
      <w:r>
        <w:rPr>
          <w:rFonts w:ascii="Times New Roman" w:hAnsi="Times New Roman" w:eastAsia="Times New Roman" w:cs="Times New Roman"/>
          <w:sz w:val="24"/>
          <w:szCs w:val="24"/>
          <w:b w:val="1"/>
          <w:bCs w:val="1"/>
        </w:rPr>
        <w:t xml:space="preserve">Pursuant to Section 13 or 15(d) </w:t>
      </w:r>
    </w:p>
    <w:p>
      <w:pPr>
        <w:jc w:val="center"/>
        <w:spacing w:before="0" w:after="0"/>
      </w:pPr>
      <w:r>
        <w:rPr>
          <w:rFonts w:ascii="Times New Roman" w:hAnsi="Times New Roman" w:eastAsia="Times New Roman" w:cs="Times New Roman"/>
          <w:sz w:val="24"/>
          <w:szCs w:val="24"/>
          <w:b w:val="1"/>
          <w:bCs w:val="1"/>
        </w:rPr>
        <w:t xml:space="preserve">of the Securities Exchange Act of 1934 </w:t>
      </w:r>
    </w:p>
    <w:p>
      <w:pPr>
        <w:jc w:val="center"/>
        <w:spacing w:before="240" w:after="0"/>
      </w:pPr>
      <w:r>
        <w:rPr>
          <w:rFonts w:ascii="Times New Roman" w:hAnsi="Times New Roman" w:eastAsia="Times New Roman" w:cs="Times New Roman"/>
          <w:sz w:val="24"/>
          <w:szCs w:val="24"/>
          <w:b w:val="1"/>
          <w:bCs w:val="1"/>
        </w:rPr>
        <w:t xml:space="preserve">Date of Report (Date of Earliest Event Reported): March 7, 2019 </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48"/>
          <w:szCs w:val="48"/>
          <w:b w:val="1"/>
          <w:bCs w:val="1"/>
        </w:rPr>
        <w:t xml:space="preserve">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 </w:t>
      </w:r>
    </w:p>
    <w:p>
      <w:pPr>
        <w:jc w:val="start"/>
        <w:spacing w:before="0" w:after="0"/>
      </w:pPr>
      <w:r>
        <w:rPr>
          <w:sz w:val="24"/>
          <w:szCs w:val="24"/>
        </w:rPr>
        <w:t xml:space="preserve"> </w:t>
      </w:r>
    </w:p>
    <w:p>
      <w:pPr>
        <w:jc w:val="start"/>
        <w:spacing w:before="0" w:after="40" w:line="120" w:lineRule="exact"/>
      </w:pPr>
      <w:r>
        <w:rPr/>
        <w:t xml:space="preserve"> </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jc w:val="center"/>
        <w:tblW w:w="5000" w:type="pct"/>
        <w:tblCellSpacing w:w="0" w:type="dxa"/>
        <w:tblLayout w:type="autofit"/>
        <w:tblBorders>
          <w:top w:val="single" w:sz="0"/>
          <w:left w:val="single" w:sz="0"/>
          <w:right w:val="single" w:sz="0"/>
          <w:bottom w:val="single" w:sz="0"/>
          <w:insideH w:val="single" w:sz="0"/>
          <w:insideV w:val="single" w:sz="0"/>
        </w:tblBorders>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noWrap/>
          </w:tcPr>
          <w:p>
            <w:pPr/>
          </w:p>
        </w:tc>
        <w:tc>
          <w:tcPr>
            <w:tcW w:w="5000" w:type="pct"/>
            <w:gridSpan w:val="2"/>
            <w:noWrap/>
          </w:tcPr>
          <w:p>
            <w:pPr/>
          </w:p>
        </w:tc>
        <w:tc>
          <w:tcPr>
            <w:tcW w:w="5000" w:type="pct"/>
            <w:gridSpan w:val="2"/>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4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r>
        <w:rPr>
          <w:rFonts w:ascii="Times New Roman" w:hAnsi="Times New Roman" w:eastAsia="Times New Roman" w:cs="Times New Roman"/>
          <w:sz w:val="20"/>
          <w:szCs w:val="20"/>
          <w:b w:val="1"/>
          <w:bCs w:val="1"/>
        </w:rPr>
        <w:t xml:space="preserve"> </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 </w:t>
      </w:r>
    </w:p>
    <w:p>
      <w:pPr>
        <w:jc w:val="center"/>
        <w:spacing w:before="240" w:after="0"/>
      </w:pPr>
      <w:r>
        <w:rPr>
          <w:rFonts w:ascii="Times New Roman" w:hAnsi="Times New Roman" w:eastAsia="Times New Roman" w:cs="Times New Roman"/>
          <w:sz w:val="20"/>
          <w:szCs w:val="20"/>
          <w:b w:val="1"/>
          <w:bCs w:val="1"/>
        </w:rPr>
        <w:t xml:space="preserve">Not Applicable </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 </w:t>
      </w:r>
    </w:p>
    <w:p>
      <w:pPr>
        <w:jc w:val="start"/>
        <w:spacing w:before="0" w:after="0"/>
      </w:pPr>
      <w:r>
        <w:rPr>
          <w:sz w:val="24"/>
          <w:szCs w:val="24"/>
        </w:rPr>
        <w:t xml:space="preserve"> </w:t>
      </w:r>
    </w:p>
    <w:p>
      <w:pPr>
        <w:jc w:val="start"/>
        <w:spacing w:before="0" w:after="40" w:line="120" w:lineRule="exact"/>
      </w:pPr>
      <w:r>
        <w:rPr/>
        <w:t xml:space="preserve"> </w:t>
      </w:r>
    </w:p>
    <w:p>
      <w:pPr>
        <w:jc w:val="start"/>
        <w:spacing w:before="24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ofthe registrant under any of the following provisions: </w:t>
      </w:r>
    </w:p>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 </w:t>
            </w:r>
          </w:p>
        </w:tc>
      </w:tr>
    </w:tbl>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24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 </w:t>
      </w:r>
    </w:p>
    <w:p>
      <w:pPr>
        <w:jc w:val="start"/>
        <w:ind w:left="0" w:right="0" w:firstLine="0" w:hanging="0"/>
        <w:spacing w:before="240" w:after="0"/>
      </w:pPr>
      <w:r>
        <w:rPr>
          <w:rFonts w:ascii="Times New Roman" w:hAnsi="Times New Roman" w:eastAsia="Times New Roman" w:cs="Times New Roman"/>
          <w:sz w:val="20"/>
          <w:szCs w:val="20"/>
        </w:rPr>
        <w:t xml:space="preserve">Emerging Growth Company  ☒ </w:t>
      </w:r>
    </w:p>
    <w:p>
      <w:pPr>
        <w:jc w:val="start"/>
        <w:ind w:left="0" w:right="0" w:firstLine="0" w:hanging="0"/>
        <w:spacing w:before="24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complyingwith any new or revised financial accounting standards pursuant to Section 13(a) of the Exchange Act.  ☐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p>
    <w:p>
      <w:pPr>
        <w:jc w:val="start"/>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b w:val="1"/>
          <w:bCs w:val="1"/>
        </w:rPr>
        <w:t xml:space="preserve">Item 3.01. Notice of Delisting or Failure to Satisfy a Continued Listing Rule or Standard; Transferof Listing. </w:t>
      </w:r>
    </w:p>
    <w:p>
      <w:pPr>
        <w:jc w:val="start"/>
        <w:spacing w:before="120" w:after="0"/>
      </w:pPr>
      <w:r>
        <w:rPr>
          <w:rFonts w:ascii="Times New Roman" w:hAnsi="Times New Roman" w:eastAsia="Times New Roman" w:cs="Times New Roman"/>
          <w:sz w:val="20"/>
          <w:szCs w:val="20"/>
        </w:rPr>
        <w:t xml:space="preserve">As previously disclosed in the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filed by Organogenesis Holdings Inc.(the Company) with the Securities and Exchange Commission (the SEC) on January 7, 2019, the Nasdaq Stock Market LLC (Nasdaq) notified the Company that it had determined to delist the Companys warrantsdue to the Companys </w:t>
      </w:r>
      <w:r>
        <w:rPr>
          <w:rFonts w:ascii="Times New Roman" w:hAnsi="Times New Roman" w:eastAsia="Times New Roman" w:cs="Times New Roman"/>
          <w:sz w:val="20"/>
          <w:szCs w:val="20"/>
        </w:rPr>
        <w:t xml:space="preserve">non-compliance</w:t>
      </w:r>
      <w:r>
        <w:rPr>
          <w:rFonts w:ascii="Times New Roman" w:hAnsi="Times New Roman" w:eastAsia="Times New Roman" w:cs="Times New Roman"/>
          <w:sz w:val="20"/>
          <w:szCs w:val="20"/>
        </w:rPr>
        <w:t xml:space="preserve"> with the minimum 400 round lot holder requirement for the initial listing of the warrants on Nasdaq, as required by Nasdaq Listing Rule 5515(a)(4). </w:t>
      </w:r>
    </w:p>
    <w:p>
      <w:pPr>
        <w:jc w:val="start"/>
        <w:spacing w:before="240" w:after="0"/>
      </w:pPr>
      <w:r>
        <w:rPr>
          <w:rFonts w:ascii="Times New Roman" w:hAnsi="Times New Roman" w:eastAsia="Times New Roman" w:cs="Times New Roman"/>
          <w:sz w:val="20"/>
          <w:szCs w:val="20"/>
        </w:rPr>
        <w:t xml:space="preserve">On March 7, 2019, the Company was notified by Nasdaq that Nasdaq plans to file a Form 25 with the SEC to effect the formal delisting of theCompanys warrants from Nasdaq and will issue a press release to that effect. The delisting of the warrants will become effective ten days after the Form 25 is filed with the SEC. The filing of the Form 25 by Nasdaq formally completes thewarrant delisting process. </w:t>
      </w:r>
    </w:p>
    <w:p>
      <w:pPr>
        <w:jc w:val="start"/>
        <w:spacing w:before="240" w:after="0"/>
      </w:pPr>
      <w:r>
        <w:rPr>
          <w:rFonts w:ascii="Times New Roman" w:hAnsi="Times New Roman" w:eastAsia="Times New Roman" w:cs="Times New Roman"/>
          <w:sz w:val="20"/>
          <w:szCs w:val="20"/>
        </w:rPr>
        <w:t xml:space="preserve">Trading of the Companys warrants is expected to continue on the OTC market under the symbol ORGOW. </w:t>
      </w:r>
    </w:p>
    <w:p>
      <w:pPr>
        <w:jc w:val="start"/>
        <w:spacing w:before="360" w:after="0"/>
      </w:pPr>
      <w:r>
        <w:rPr>
          <w:rFonts w:ascii="Times New Roman" w:hAnsi="Times New Roman" w:eastAsia="Times New Roman" w:cs="Times New Roman"/>
          <w:sz w:val="20"/>
          <w:szCs w:val="20"/>
          <w:b w:val="1"/>
          <w:bCs w:val="1"/>
        </w:rPr>
        <w:t xml:space="preserve">Forward-Looking Statements </w:t>
      </w:r>
    </w:p>
    <w:p>
      <w:pPr>
        <w:jc w:val="start"/>
        <w:spacing w:before="120" w:after="0"/>
      </w:pPr>
      <w:r>
        <w:rPr>
          <w:rFonts w:ascii="Times New Roman" w:hAnsi="Times New Roman" w:eastAsia="Times New Roman" w:cs="Times New Roman"/>
          <w:sz w:val="20"/>
          <w:szCs w:val="20"/>
        </w:rPr>
        <w:t xml:space="preserve">The Company makesforward-looking statements in this report within the meaning of the Private Securities Litigation Reform Act of 1995. These forward-looking statements relate to expectations or forecasts for future events. Forward-looking statements may beidentified by the use of words such as will, forecast, intend, seek, target, anticipate, believe, expect, estimate, plan,outlook, extend, and project and other similar expressions that predict or indicate future events or trends or that are not statements of historical matters. Such forward looking statements include statementsrelating to the trading of the warrants on the OTC in the future. Forward looking statements are subject to known and unknown risks and uncertainties, which could cause actual results or outcomes to differ materially from expectations expressed orimplied by such forward looking statements. These factors include, but are not limited to: (1) the Companys ability to meet any applicable OTC market requirements and (2) other risks and uncertainties described in other documentsfiled or to be filed by the Company with the SEC. Although they may voluntarily do so from time to time, the Company undertakes no commitment to update or revise the forward-looking statements, whether as a result of new information, future eventsor otherwise, except as required by applicable securities laws. </w:t>
      </w:r>
    </w:p>
    <w:p>
      <w:pPr/>
    </w:p>
    <w:p>
      <w:pPr>
        <w:jc w:val="start"/>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Borders>
          <w:top w:val="single" w:sz="0"/>
          <w:left w:val="single" w:sz="0"/>
          <w:right w:val="single" w:sz="0"/>
          <w:bottom w:val="single" w:sz="0"/>
          <w:insideH w:val="single" w:sz="0"/>
          <w:insideV w:val="single" w:sz="0"/>
        </w:tblBorders>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jc w:val="end"/>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March 11, 2019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2026-08-07T12:19:53-04:00</dcterms:created>
  <dcterms:modified xsi:type="dcterms:W3CDTF">2026-08-07T12:19:53-04:00</dcterms:modified>
</cp:coreProperties>
</file>

<file path=docProps/custom.xml><?xml version="1.0" encoding="utf-8"?>
<Properties xmlns="http://schemas.openxmlformats.org/officeDocument/2006/custom-properties" xmlns:vt="http://schemas.openxmlformats.org/officeDocument/2006/docPropsVTypes"/>
</file>