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8-K</w:t>
      </w:r>
    </w:p>
    <w:p>
      <w:pPr/>
      <w:r>
        <w:rPr/>
        <w:t xml:space="preserve">1</w:t>
      </w:r>
    </w:p>
    <w:p>
      <w:pPr/>
      <w:r>
        <w:rPr/>
        <w:t xml:space="preserve">d642634d8k.htm</w:t>
      </w:r>
    </w:p>
    <w:p>
      <w:pPr/>
      <w:r>
        <w:rPr/>
        <w:t xml:space="preserve">FORM 8-K</w:t>
      </w:r>
    </w:p>
    <w:p>
      <w:pPr/>
      <w:r>
        <w:rPr/>
        <w:t xml:space="preserve">Form 8-K</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 </w:t>
      </w:r>
    </w:p>
    <w:p>
      <w:pPr>
        <w:jc w:val="center"/>
        <w:spacing w:before="0" w:after="0"/>
      </w:pPr>
      <w:r>
        <w:rPr>
          <w:rFonts w:ascii="Times New Roman" w:hAnsi="Times New Roman" w:eastAsia="Times New Roman" w:cs="Times New Roman"/>
          <w:sz w:val="36"/>
          <w:szCs w:val="36"/>
          <w:b w:val="1"/>
          <w:bCs w:val="1"/>
        </w:rPr>
        <w:t xml:space="preserve">SECURITIES AND EXCHANGE COMMISSION </w:t>
      </w:r>
    </w:p>
    <w:p>
      <w:pPr>
        <w:jc w:val="center"/>
        <w:spacing w:before="0" w:after="0"/>
      </w:pPr>
      <w:r>
        <w:rPr>
          <w:rFonts w:ascii="Times New Roman" w:hAnsi="Times New Roman" w:eastAsia="Times New Roman" w:cs="Times New Roman"/>
          <w:sz w:val="24"/>
          <w:szCs w:val="24"/>
          <w:b w:val="1"/>
          <w:bCs w:val="1"/>
        </w:rPr>
        <w:t xml:space="preserve">Washington, D.C. 20549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24"/>
          <w:szCs w:val="24"/>
          <w:b w:val="1"/>
          <w:bCs w:val="1"/>
        </w:rPr>
        <w:t xml:space="preserve">CURRENTREPORT </w:t>
      </w:r>
    </w:p>
    <w:p>
      <w:pPr>
        <w:jc w:val="center"/>
        <w:spacing w:before="0" w:after="0"/>
      </w:pPr>
      <w:r>
        <w:rPr>
          <w:rFonts w:ascii="Times New Roman" w:hAnsi="Times New Roman" w:eastAsia="Times New Roman" w:cs="Times New Roman"/>
          <w:sz w:val="24"/>
          <w:szCs w:val="24"/>
          <w:b w:val="1"/>
          <w:bCs w:val="1"/>
        </w:rPr>
        <w:t xml:space="preserve">Pursuant to Section 13 or 15(d) </w:t>
      </w:r>
    </w:p>
    <w:p>
      <w:pPr>
        <w:jc w:val="center"/>
        <w:spacing w:before="0" w:after="0"/>
      </w:pPr>
      <w:r>
        <w:rPr>
          <w:rFonts w:ascii="Times New Roman" w:hAnsi="Times New Roman" w:eastAsia="Times New Roman" w:cs="Times New Roman"/>
          <w:sz w:val="24"/>
          <w:szCs w:val="24"/>
          <w:b w:val="1"/>
          <w:bCs w:val="1"/>
        </w:rPr>
        <w:t xml:space="preserve">of the Securities Exchange Act of 1934 </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April 1, 2019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48"/>
          <w:szCs w:val="48"/>
          <w:b w:val="1"/>
          <w:bCs w:val="1"/>
        </w:rPr>
        <w:t xml:space="preserve">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jc w:val="center"/>
        <w:tblW w:w="5000" w:type="pct"/>
        <w:tblCellSpacing w:w="0" w:type="dxa"/>
        <w:tblLayout w:type="autofit"/>
        <w:tblBorders>
          <w:top w:val="single" w:sz="0"/>
          <w:left w:val="single" w:sz="0"/>
          <w:right w:val="single" w:sz="0"/>
          <w:bottom w:val="single" w:sz="0"/>
          <w:insideH w:val="single" w:sz="0"/>
          <w:insideV w:val="single" w:sz="0"/>
        </w:tblBorders>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gridSpan w:val="3"/>
            <w:noWrap/>
          </w:tcPr>
          <w:p>
            <w:pPr/>
          </w:p>
        </w:tc>
        <w:tc>
          <w:tcPr>
            <w:tcW w:w="5000" w:type="pct"/>
            <w:gridSpan w:val="2"/>
            <w:noWrap/>
          </w:tcPr>
          <w:p>
            <w:pPr/>
          </w:p>
        </w:tc>
      </w:tr>
      <w:tr>
        <w:trPr/>
        <w:tc>
          <w:tcPr>
            <w:tcW w:w="5000" w:type="pct"/>
            <w:vAlign w:val="top"/>
            <w:gridSpan w:val="3"/>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gridSpan w:val="3"/>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r>
        <w:rPr>
          <w:rFonts w:ascii="Times New Roman" w:hAnsi="Times New Roman" w:eastAsia="Times New Roman" w:cs="Times New Roman"/>
          <w:sz w:val="20"/>
          <w:szCs w:val="20"/>
          <w:b w:val="1"/>
          <w:bCs w:val="1"/>
        </w:rPr>
        <w:t xml:space="preserve"> </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 </w:t>
      </w:r>
    </w:p>
    <w:p>
      <w:pPr>
        <w:jc w:val="center"/>
        <w:spacing w:before="240" w:after="0"/>
      </w:pPr>
      <w:r>
        <w:rPr>
          <w:rFonts w:ascii="Times New Roman" w:hAnsi="Times New Roman" w:eastAsia="Times New Roman" w:cs="Times New Roman"/>
          <w:sz w:val="20"/>
          <w:szCs w:val="20"/>
          <w:b w:val="1"/>
          <w:bCs w:val="1"/>
        </w:rPr>
        <w:t xml:space="preserve">Not Applicable </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ofthe registrant under any of the following provisions: </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 </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 </w:t>
      </w:r>
    </w:p>
    <w:p>
      <w:pPr>
        <w:jc w:val="start"/>
        <w:ind w:left="0" w:right="0" w:firstLine="0" w:hanging="0"/>
        <w:spacing w:before="240" w:after="0"/>
      </w:pPr>
      <w:r>
        <w:rPr>
          <w:rFonts w:ascii="Times New Roman" w:hAnsi="Times New Roman" w:eastAsia="Times New Roman" w:cs="Times New Roman"/>
          <w:sz w:val="20"/>
          <w:szCs w:val="20"/>
        </w:rPr>
        <w:t xml:space="preserve">Emerging Growth Company  ☒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complyingwith any new or revised financial accounting standards pursuant to Section 13(a) of the Exchange Act.  ☐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p>
    <w:p>
      <w:pPr>
        <w:jc w:val="start"/>
        <w:spacing w:before="120" w:after="120" w:line="240" w:lineRule="auto"/>
        <w:pBdr>
          <w:bottom w:val="single" w:sz="1" w:color="999999"/>
        </w:pBdr>
      </w:pPr>
      <w:r>
        <w:rPr>
          <w:color w:val="999999"/>
          <w:sz w:val="6"/>
          <w:szCs w:val="6"/>
        </w:rPr>
        <w:t xml:space="preserve"/>
      </w:r>
    </w:p>
    <w:tbl>
      <w:tblGrid>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500" w:type="pct"/>
            <w:vAlign w:val="top"/>
            <w:noWrap/>
          </w:tcPr>
          <w:p>
            <w:pPr>
              <w:jc w:val="start"/>
            </w:pPr>
            <w:r>
              <w:rPr>
                <w:rFonts w:ascii="Times New Roman" w:hAnsi="Times New Roman" w:eastAsia="Times New Roman" w:cs="Times New Roman"/>
                <w:sz w:val="20"/>
                <w:szCs w:val="20"/>
                <w:b w:val="1"/>
                <w:bCs w:val="1"/>
              </w:rPr>
              <w:t xml:space="preserve">Item 8.01.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Other Events. </w:t>
            </w:r>
          </w:p>
        </w:tc>
      </w:tr>
    </w:tbl>
    <w:p>
      <w:pPr>
        <w:jc w:val="start"/>
        <w:spacing w:before="120" w:after="0"/>
      </w:pPr>
      <w:r>
        <w:rPr>
          <w:rFonts w:ascii="Times New Roman" w:hAnsi="Times New Roman" w:eastAsia="Times New Roman" w:cs="Times New Roman"/>
          <w:sz w:val="20"/>
          <w:szCs w:val="20"/>
        </w:rPr>
        <w:t xml:space="preserve">On April 1, 2019, The Nasdaq Stock Market LLC (Nasdaq) confirmed that the Company has regained compliance with the applicable listingrequirements on the Nasdaq Capital Market, including the minimum 300 round lot shareholder requirement for initial listing required by Listing Rule 5505(a)(3). This determination resolves the previously disclosed Nasdaq proceedings relating to theround lot holders of the Companys Class A common stock and Nasdaq has confirmed that the matter is now closed. </w:t>
      </w:r>
    </w:p>
    <w:p>
      <w:pPr/>
    </w:p>
    <w:p>
      <w:pPr>
        <w:jc w:val="start"/>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bottom"/>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April 1, 2019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2026-08-07T12:19:50-04:00</dcterms:created>
  <dcterms:modified xsi:type="dcterms:W3CDTF">2026-08-07T12:19:50-04:00</dcterms:modified>
</cp:coreProperties>
</file>

<file path=docProps/custom.xml><?xml version="1.0" encoding="utf-8"?>
<Properties xmlns="http://schemas.openxmlformats.org/officeDocument/2006/custom-properties" xmlns:vt="http://schemas.openxmlformats.org/officeDocument/2006/docPropsVTypes"/>
</file>